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23825" w14:textId="164D901C" w:rsidR="00E47E64" w:rsidRPr="00C73D71" w:rsidRDefault="009F048B" w:rsidP="009F048B">
      <w:pPr>
        <w:spacing w:after="0"/>
        <w:rPr>
          <w:lang w:eastAsia="en-AU"/>
        </w:rPr>
        <w:sectPr w:rsidR="00E47E64" w:rsidRPr="00C73D71" w:rsidSect="009F048B">
          <w:headerReference w:type="even" r:id="rId11"/>
          <w:headerReference w:type="default" r:id="rId12"/>
          <w:footerReference w:type="default" r:id="rId13"/>
          <w:pgSz w:w="11906" w:h="16838" w:code="9"/>
          <w:pgMar w:top="0" w:right="0" w:bottom="0" w:left="0" w:header="0" w:footer="0" w:gutter="0"/>
          <w:cols w:space="720"/>
          <w:titlePg/>
          <w:docGrid w:linePitch="299"/>
        </w:sectPr>
      </w:pPr>
      <w:r>
        <w:rPr>
          <w:noProof/>
        </w:rPr>
        <w:drawing>
          <wp:inline distT="0" distB="0" distL="0" distR="0" wp14:anchorId="389E31AD" wp14:editId="74479409">
            <wp:extent cx="7560000" cy="10692000"/>
            <wp:effectExtent l="0" t="0" r="3175" b="0"/>
            <wp:docPr id="1" name="Picture 1" descr="May 2020. Paving the roads to recovery: Building a better system for people experiencing mental health issues in Victoria. Our recommendations for the Royal Commission into Victoria's Mental Health System. Victoria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5_0166_RCVMHS 2nd submission 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inline>
        </w:drawing>
      </w:r>
    </w:p>
    <w:p w14:paraId="2EBF0A34" w14:textId="77777777" w:rsidR="005A3181" w:rsidRDefault="002B4970" w:rsidP="00B2605C">
      <w:pPr>
        <w:pStyle w:val="TOC1"/>
        <w:spacing w:before="0"/>
        <w:rPr>
          <w:b w:val="0"/>
          <w:bCs/>
          <w:color w:val="216E96"/>
          <w:sz w:val="32"/>
          <w:szCs w:val="32"/>
        </w:rPr>
      </w:pPr>
      <w:bookmarkStart w:id="0" w:name="_Toc40217841"/>
      <w:r w:rsidRPr="004F7C7B">
        <w:rPr>
          <w:b w:val="0"/>
          <w:bCs/>
          <w:color w:val="216E96"/>
          <w:sz w:val="32"/>
          <w:szCs w:val="32"/>
        </w:rPr>
        <w:lastRenderedPageBreak/>
        <w:t>Contents</w:t>
      </w:r>
    </w:p>
    <w:bookmarkEnd w:id="0"/>
    <w:p w14:paraId="723E08F4" w14:textId="31C61CF9" w:rsidR="004A7139" w:rsidRDefault="00532449">
      <w:pPr>
        <w:pStyle w:val="TOC1"/>
        <w:rPr>
          <w:rFonts w:asciiTheme="minorHAnsi" w:eastAsiaTheme="minorEastAsia" w:hAnsiTheme="minorHAnsi" w:cstheme="minorBidi"/>
          <w:b w:val="0"/>
          <w:noProof/>
          <w:szCs w:val="22"/>
          <w:lang w:eastAsia="en-AU"/>
        </w:rPr>
      </w:pPr>
      <w:r>
        <w:rPr>
          <w:lang w:eastAsia="en-AU"/>
        </w:rPr>
        <w:fldChar w:fldCharType="begin"/>
      </w:r>
      <w:r>
        <w:rPr>
          <w:lang w:eastAsia="en-AU"/>
        </w:rPr>
        <w:instrText xml:space="preserve"> TOC \o "2-2" \h \z \t "Heading 1,1,Title,1" </w:instrText>
      </w:r>
      <w:r>
        <w:rPr>
          <w:lang w:eastAsia="en-AU"/>
        </w:rPr>
        <w:fldChar w:fldCharType="separate"/>
      </w:r>
      <w:hyperlink w:anchor="_Toc41651942" w:history="1">
        <w:r w:rsidR="004A7139" w:rsidRPr="00BF53DD">
          <w:rPr>
            <w:rStyle w:val="Hyperlink"/>
            <w:noProof/>
          </w:rPr>
          <w:t>Executive summary</w:t>
        </w:r>
        <w:r w:rsidR="004A7139">
          <w:rPr>
            <w:noProof/>
            <w:webHidden/>
          </w:rPr>
          <w:tab/>
        </w:r>
        <w:r w:rsidR="004A7139">
          <w:rPr>
            <w:noProof/>
            <w:webHidden/>
          </w:rPr>
          <w:fldChar w:fldCharType="begin"/>
        </w:r>
        <w:r w:rsidR="004A7139">
          <w:rPr>
            <w:noProof/>
            <w:webHidden/>
          </w:rPr>
          <w:instrText xml:space="preserve"> PAGEREF _Toc41651942 \h </w:instrText>
        </w:r>
        <w:r w:rsidR="004A7139">
          <w:rPr>
            <w:noProof/>
            <w:webHidden/>
          </w:rPr>
        </w:r>
        <w:r w:rsidR="004A7139">
          <w:rPr>
            <w:noProof/>
            <w:webHidden/>
          </w:rPr>
          <w:fldChar w:fldCharType="separate"/>
        </w:r>
        <w:r w:rsidR="002B61A5">
          <w:rPr>
            <w:noProof/>
            <w:webHidden/>
          </w:rPr>
          <w:t>2</w:t>
        </w:r>
        <w:r w:rsidR="004A7139">
          <w:rPr>
            <w:noProof/>
            <w:webHidden/>
          </w:rPr>
          <w:fldChar w:fldCharType="end"/>
        </w:r>
      </w:hyperlink>
    </w:p>
    <w:p w14:paraId="50EA7D1D" w14:textId="7C5B72EE" w:rsidR="004A7139" w:rsidRDefault="00D13461">
      <w:pPr>
        <w:pStyle w:val="TOC1"/>
        <w:rPr>
          <w:rFonts w:asciiTheme="minorHAnsi" w:eastAsiaTheme="minorEastAsia" w:hAnsiTheme="minorHAnsi" w:cstheme="minorBidi"/>
          <w:b w:val="0"/>
          <w:noProof/>
          <w:szCs w:val="22"/>
          <w:lang w:eastAsia="en-AU"/>
        </w:rPr>
      </w:pPr>
      <w:hyperlink w:anchor="_Toc41651943" w:history="1">
        <w:r w:rsidR="004A7139" w:rsidRPr="00BF53DD">
          <w:rPr>
            <w:rStyle w:val="Hyperlink"/>
            <w:noProof/>
          </w:rPr>
          <w:t>1</w:t>
        </w:r>
        <w:r w:rsidR="004A7139">
          <w:rPr>
            <w:rFonts w:asciiTheme="minorHAnsi" w:eastAsiaTheme="minorEastAsia" w:hAnsiTheme="minorHAnsi" w:cstheme="minorBidi"/>
            <w:b w:val="0"/>
            <w:noProof/>
            <w:szCs w:val="22"/>
            <w:lang w:eastAsia="en-AU"/>
          </w:rPr>
          <w:tab/>
        </w:r>
        <w:r w:rsidR="004A7139" w:rsidRPr="00BF53DD">
          <w:rPr>
            <w:rStyle w:val="Hyperlink"/>
            <w:noProof/>
          </w:rPr>
          <w:t>Consumer leadership</w:t>
        </w:r>
        <w:r w:rsidR="004A7139">
          <w:rPr>
            <w:noProof/>
            <w:webHidden/>
          </w:rPr>
          <w:tab/>
        </w:r>
        <w:r w:rsidR="004A7139">
          <w:rPr>
            <w:noProof/>
            <w:webHidden/>
          </w:rPr>
          <w:fldChar w:fldCharType="begin"/>
        </w:r>
        <w:r w:rsidR="004A7139">
          <w:rPr>
            <w:noProof/>
            <w:webHidden/>
          </w:rPr>
          <w:instrText xml:space="preserve"> PAGEREF _Toc41651943 \h </w:instrText>
        </w:r>
        <w:r w:rsidR="004A7139">
          <w:rPr>
            <w:noProof/>
            <w:webHidden/>
          </w:rPr>
        </w:r>
        <w:r w:rsidR="004A7139">
          <w:rPr>
            <w:noProof/>
            <w:webHidden/>
          </w:rPr>
          <w:fldChar w:fldCharType="separate"/>
        </w:r>
        <w:r w:rsidR="002B61A5">
          <w:rPr>
            <w:noProof/>
            <w:webHidden/>
          </w:rPr>
          <w:t>4</w:t>
        </w:r>
        <w:r w:rsidR="004A7139">
          <w:rPr>
            <w:noProof/>
            <w:webHidden/>
          </w:rPr>
          <w:fldChar w:fldCharType="end"/>
        </w:r>
      </w:hyperlink>
    </w:p>
    <w:p w14:paraId="4ECEA0C5" w14:textId="68E43CA4" w:rsidR="004A7139" w:rsidRDefault="00D13461">
      <w:pPr>
        <w:pStyle w:val="TOC2"/>
        <w:rPr>
          <w:rFonts w:asciiTheme="minorHAnsi" w:eastAsiaTheme="minorEastAsia" w:hAnsiTheme="minorHAnsi" w:cstheme="minorBidi"/>
          <w:szCs w:val="22"/>
          <w:lang w:eastAsia="en-AU"/>
        </w:rPr>
      </w:pPr>
      <w:hyperlink w:anchor="_Toc41651944" w:history="1">
        <w:r w:rsidR="004A7139" w:rsidRPr="00BF53DD">
          <w:rPr>
            <w:rStyle w:val="Hyperlink"/>
          </w:rPr>
          <w:t>1.1</w:t>
        </w:r>
        <w:r w:rsidR="004A7139">
          <w:rPr>
            <w:rFonts w:asciiTheme="minorHAnsi" w:eastAsiaTheme="minorEastAsia" w:hAnsiTheme="minorHAnsi" w:cstheme="minorBidi"/>
            <w:szCs w:val="22"/>
            <w:lang w:eastAsia="en-AU"/>
          </w:rPr>
          <w:tab/>
        </w:r>
        <w:r w:rsidR="004A7139" w:rsidRPr="00BF53DD">
          <w:rPr>
            <w:rStyle w:val="Hyperlink"/>
          </w:rPr>
          <w:t>Consumer leadership in mental health services</w:t>
        </w:r>
        <w:r w:rsidR="004A7139">
          <w:rPr>
            <w:webHidden/>
          </w:rPr>
          <w:tab/>
        </w:r>
        <w:r w:rsidR="004A7139">
          <w:rPr>
            <w:webHidden/>
          </w:rPr>
          <w:fldChar w:fldCharType="begin"/>
        </w:r>
        <w:r w:rsidR="004A7139">
          <w:rPr>
            <w:webHidden/>
          </w:rPr>
          <w:instrText xml:space="preserve"> PAGEREF _Toc41651944 \h </w:instrText>
        </w:r>
        <w:r w:rsidR="004A7139">
          <w:rPr>
            <w:webHidden/>
          </w:rPr>
        </w:r>
        <w:r w:rsidR="004A7139">
          <w:rPr>
            <w:webHidden/>
          </w:rPr>
          <w:fldChar w:fldCharType="separate"/>
        </w:r>
        <w:r w:rsidR="002B61A5">
          <w:rPr>
            <w:webHidden/>
          </w:rPr>
          <w:t>4</w:t>
        </w:r>
        <w:r w:rsidR="004A7139">
          <w:rPr>
            <w:webHidden/>
          </w:rPr>
          <w:fldChar w:fldCharType="end"/>
        </w:r>
      </w:hyperlink>
    </w:p>
    <w:p w14:paraId="67FA7A3C" w14:textId="268AA239" w:rsidR="004A7139" w:rsidRDefault="00D13461">
      <w:pPr>
        <w:pStyle w:val="TOC2"/>
        <w:rPr>
          <w:rFonts w:asciiTheme="minorHAnsi" w:eastAsiaTheme="minorEastAsia" w:hAnsiTheme="minorHAnsi" w:cstheme="minorBidi"/>
          <w:szCs w:val="22"/>
          <w:lang w:eastAsia="en-AU"/>
        </w:rPr>
      </w:pPr>
      <w:hyperlink w:anchor="_Toc41651945" w:history="1">
        <w:r w:rsidR="004A7139" w:rsidRPr="00BF53DD">
          <w:rPr>
            <w:rStyle w:val="Hyperlink"/>
          </w:rPr>
          <w:t>1.2</w:t>
        </w:r>
        <w:r w:rsidR="004A7139">
          <w:rPr>
            <w:rFonts w:asciiTheme="minorHAnsi" w:eastAsiaTheme="minorEastAsia" w:hAnsiTheme="minorHAnsi" w:cstheme="minorBidi"/>
            <w:szCs w:val="22"/>
            <w:lang w:eastAsia="en-AU"/>
          </w:rPr>
          <w:tab/>
        </w:r>
        <w:r w:rsidR="004A7139" w:rsidRPr="00BF53DD">
          <w:rPr>
            <w:rStyle w:val="Hyperlink"/>
          </w:rPr>
          <w:t>Consumer leadership in intersecting systems and services</w:t>
        </w:r>
        <w:r w:rsidR="004A7139">
          <w:rPr>
            <w:webHidden/>
          </w:rPr>
          <w:tab/>
        </w:r>
        <w:r w:rsidR="004A7139">
          <w:rPr>
            <w:webHidden/>
          </w:rPr>
          <w:fldChar w:fldCharType="begin"/>
        </w:r>
        <w:r w:rsidR="004A7139">
          <w:rPr>
            <w:webHidden/>
          </w:rPr>
          <w:instrText xml:space="preserve"> PAGEREF _Toc41651945 \h </w:instrText>
        </w:r>
        <w:r w:rsidR="004A7139">
          <w:rPr>
            <w:webHidden/>
          </w:rPr>
        </w:r>
        <w:r w:rsidR="004A7139">
          <w:rPr>
            <w:webHidden/>
          </w:rPr>
          <w:fldChar w:fldCharType="separate"/>
        </w:r>
        <w:r w:rsidR="002B61A5">
          <w:rPr>
            <w:webHidden/>
          </w:rPr>
          <w:t>6</w:t>
        </w:r>
        <w:r w:rsidR="004A7139">
          <w:rPr>
            <w:webHidden/>
          </w:rPr>
          <w:fldChar w:fldCharType="end"/>
        </w:r>
      </w:hyperlink>
    </w:p>
    <w:p w14:paraId="0F303361" w14:textId="18C23794" w:rsidR="004A7139" w:rsidRDefault="00D13461">
      <w:pPr>
        <w:pStyle w:val="TOC1"/>
        <w:rPr>
          <w:rFonts w:asciiTheme="minorHAnsi" w:eastAsiaTheme="minorEastAsia" w:hAnsiTheme="minorHAnsi" w:cstheme="minorBidi"/>
          <w:b w:val="0"/>
          <w:noProof/>
          <w:szCs w:val="22"/>
          <w:lang w:eastAsia="en-AU"/>
        </w:rPr>
      </w:pPr>
      <w:hyperlink w:anchor="_Toc41651946" w:history="1">
        <w:r w:rsidR="004A7139" w:rsidRPr="00BF53DD">
          <w:rPr>
            <w:rStyle w:val="Hyperlink"/>
            <w:noProof/>
          </w:rPr>
          <w:t>2</w:t>
        </w:r>
        <w:r w:rsidR="004A7139">
          <w:rPr>
            <w:rFonts w:asciiTheme="minorHAnsi" w:eastAsiaTheme="minorEastAsia" w:hAnsiTheme="minorHAnsi" w:cstheme="minorBidi"/>
            <w:b w:val="0"/>
            <w:noProof/>
            <w:szCs w:val="22"/>
            <w:lang w:eastAsia="en-AU"/>
          </w:rPr>
          <w:tab/>
        </w:r>
        <w:r w:rsidR="004A7139" w:rsidRPr="00BF53DD">
          <w:rPr>
            <w:rStyle w:val="Hyperlink"/>
            <w:noProof/>
          </w:rPr>
          <w:t>Access to advocacy</w:t>
        </w:r>
        <w:r w:rsidR="004A7139">
          <w:rPr>
            <w:noProof/>
            <w:webHidden/>
          </w:rPr>
          <w:tab/>
        </w:r>
        <w:r w:rsidR="004A7139">
          <w:rPr>
            <w:noProof/>
            <w:webHidden/>
          </w:rPr>
          <w:fldChar w:fldCharType="begin"/>
        </w:r>
        <w:r w:rsidR="004A7139">
          <w:rPr>
            <w:noProof/>
            <w:webHidden/>
          </w:rPr>
          <w:instrText xml:space="preserve"> PAGEREF _Toc41651946 \h </w:instrText>
        </w:r>
        <w:r w:rsidR="004A7139">
          <w:rPr>
            <w:noProof/>
            <w:webHidden/>
          </w:rPr>
        </w:r>
        <w:r w:rsidR="004A7139">
          <w:rPr>
            <w:noProof/>
            <w:webHidden/>
          </w:rPr>
          <w:fldChar w:fldCharType="separate"/>
        </w:r>
        <w:r w:rsidR="002B61A5">
          <w:rPr>
            <w:noProof/>
            <w:webHidden/>
          </w:rPr>
          <w:t>6</w:t>
        </w:r>
        <w:r w:rsidR="004A7139">
          <w:rPr>
            <w:noProof/>
            <w:webHidden/>
          </w:rPr>
          <w:fldChar w:fldCharType="end"/>
        </w:r>
      </w:hyperlink>
    </w:p>
    <w:p w14:paraId="472FD313" w14:textId="01459C6E" w:rsidR="004A7139" w:rsidRDefault="00D13461">
      <w:pPr>
        <w:pStyle w:val="TOC2"/>
        <w:rPr>
          <w:rFonts w:asciiTheme="minorHAnsi" w:eastAsiaTheme="minorEastAsia" w:hAnsiTheme="minorHAnsi" w:cstheme="minorBidi"/>
          <w:szCs w:val="22"/>
          <w:lang w:eastAsia="en-AU"/>
        </w:rPr>
      </w:pPr>
      <w:hyperlink w:anchor="_Toc41651947" w:history="1">
        <w:r w:rsidR="004A7139" w:rsidRPr="00BF53DD">
          <w:rPr>
            <w:rStyle w:val="Hyperlink"/>
          </w:rPr>
          <w:t>2.1</w:t>
        </w:r>
        <w:r w:rsidR="004A7139">
          <w:rPr>
            <w:rFonts w:asciiTheme="minorHAnsi" w:eastAsiaTheme="minorEastAsia" w:hAnsiTheme="minorHAnsi" w:cstheme="minorBidi"/>
            <w:szCs w:val="22"/>
            <w:lang w:eastAsia="en-AU"/>
          </w:rPr>
          <w:tab/>
        </w:r>
        <w:r w:rsidR="004A7139" w:rsidRPr="00BF53DD">
          <w:rPr>
            <w:rStyle w:val="Hyperlink"/>
          </w:rPr>
          <w:t>Access to representational non-legal advocacy (IMHA)</w:t>
        </w:r>
        <w:r w:rsidR="004A7139">
          <w:rPr>
            <w:webHidden/>
          </w:rPr>
          <w:tab/>
        </w:r>
        <w:r w:rsidR="004A7139">
          <w:rPr>
            <w:webHidden/>
          </w:rPr>
          <w:fldChar w:fldCharType="begin"/>
        </w:r>
        <w:r w:rsidR="004A7139">
          <w:rPr>
            <w:webHidden/>
          </w:rPr>
          <w:instrText xml:space="preserve"> PAGEREF _Toc41651947 \h </w:instrText>
        </w:r>
        <w:r w:rsidR="004A7139">
          <w:rPr>
            <w:webHidden/>
          </w:rPr>
        </w:r>
        <w:r w:rsidR="004A7139">
          <w:rPr>
            <w:webHidden/>
          </w:rPr>
          <w:fldChar w:fldCharType="separate"/>
        </w:r>
        <w:r w:rsidR="002B61A5">
          <w:rPr>
            <w:webHidden/>
          </w:rPr>
          <w:t>6</w:t>
        </w:r>
        <w:r w:rsidR="004A7139">
          <w:rPr>
            <w:webHidden/>
          </w:rPr>
          <w:fldChar w:fldCharType="end"/>
        </w:r>
      </w:hyperlink>
    </w:p>
    <w:p w14:paraId="10C15AA5" w14:textId="12C15B23" w:rsidR="004A7139" w:rsidRDefault="00D13461">
      <w:pPr>
        <w:pStyle w:val="TOC2"/>
        <w:rPr>
          <w:rFonts w:asciiTheme="minorHAnsi" w:eastAsiaTheme="minorEastAsia" w:hAnsiTheme="minorHAnsi" w:cstheme="minorBidi"/>
          <w:szCs w:val="22"/>
          <w:lang w:eastAsia="en-AU"/>
        </w:rPr>
      </w:pPr>
      <w:hyperlink w:anchor="_Toc41651948" w:history="1">
        <w:r w:rsidR="004A7139" w:rsidRPr="00BF53DD">
          <w:rPr>
            <w:rStyle w:val="Hyperlink"/>
          </w:rPr>
          <w:t>2.2</w:t>
        </w:r>
        <w:r w:rsidR="004A7139">
          <w:rPr>
            <w:rFonts w:asciiTheme="minorHAnsi" w:eastAsiaTheme="minorEastAsia" w:hAnsiTheme="minorHAnsi" w:cstheme="minorBidi"/>
            <w:szCs w:val="22"/>
            <w:lang w:eastAsia="en-AU"/>
          </w:rPr>
          <w:tab/>
        </w:r>
        <w:r w:rsidR="004A7139" w:rsidRPr="00BF53DD">
          <w:rPr>
            <w:rStyle w:val="Hyperlink"/>
          </w:rPr>
          <w:t>Access to legal assistance for people with mental health issues</w:t>
        </w:r>
        <w:r w:rsidR="004A7139">
          <w:rPr>
            <w:webHidden/>
          </w:rPr>
          <w:tab/>
        </w:r>
        <w:r w:rsidR="004A7139">
          <w:rPr>
            <w:webHidden/>
          </w:rPr>
          <w:fldChar w:fldCharType="begin"/>
        </w:r>
        <w:r w:rsidR="004A7139">
          <w:rPr>
            <w:webHidden/>
          </w:rPr>
          <w:instrText xml:space="preserve"> PAGEREF _Toc41651948 \h </w:instrText>
        </w:r>
        <w:r w:rsidR="004A7139">
          <w:rPr>
            <w:webHidden/>
          </w:rPr>
        </w:r>
        <w:r w:rsidR="004A7139">
          <w:rPr>
            <w:webHidden/>
          </w:rPr>
          <w:fldChar w:fldCharType="separate"/>
        </w:r>
        <w:r w:rsidR="002B61A5">
          <w:rPr>
            <w:webHidden/>
          </w:rPr>
          <w:t>8</w:t>
        </w:r>
        <w:r w:rsidR="004A7139">
          <w:rPr>
            <w:webHidden/>
          </w:rPr>
          <w:fldChar w:fldCharType="end"/>
        </w:r>
      </w:hyperlink>
    </w:p>
    <w:p w14:paraId="64BF1E24" w14:textId="7C39474D" w:rsidR="004A7139" w:rsidRDefault="00D13461">
      <w:pPr>
        <w:pStyle w:val="TOC1"/>
        <w:rPr>
          <w:rFonts w:asciiTheme="minorHAnsi" w:eastAsiaTheme="minorEastAsia" w:hAnsiTheme="minorHAnsi" w:cstheme="minorBidi"/>
          <w:b w:val="0"/>
          <w:noProof/>
          <w:szCs w:val="22"/>
          <w:lang w:eastAsia="en-AU"/>
        </w:rPr>
      </w:pPr>
      <w:hyperlink w:anchor="_Toc41651949" w:history="1">
        <w:r w:rsidR="004A7139" w:rsidRPr="00BF53DD">
          <w:rPr>
            <w:rStyle w:val="Hyperlink"/>
            <w:noProof/>
          </w:rPr>
          <w:t>3</w:t>
        </w:r>
        <w:r w:rsidR="004A7139">
          <w:rPr>
            <w:rFonts w:asciiTheme="minorHAnsi" w:eastAsiaTheme="minorEastAsia" w:hAnsiTheme="minorHAnsi" w:cstheme="minorBidi"/>
            <w:b w:val="0"/>
            <w:noProof/>
            <w:szCs w:val="22"/>
            <w:lang w:eastAsia="en-AU"/>
          </w:rPr>
          <w:tab/>
        </w:r>
        <w:r w:rsidR="004A7139" w:rsidRPr="00BF53DD">
          <w:rPr>
            <w:rStyle w:val="Hyperlink"/>
            <w:noProof/>
          </w:rPr>
          <w:t>Accessibility and safety of services</w:t>
        </w:r>
        <w:r w:rsidR="004A7139">
          <w:rPr>
            <w:noProof/>
            <w:webHidden/>
          </w:rPr>
          <w:tab/>
        </w:r>
        <w:r w:rsidR="004A7139">
          <w:rPr>
            <w:noProof/>
            <w:webHidden/>
          </w:rPr>
          <w:fldChar w:fldCharType="begin"/>
        </w:r>
        <w:r w:rsidR="004A7139">
          <w:rPr>
            <w:noProof/>
            <w:webHidden/>
          </w:rPr>
          <w:instrText xml:space="preserve"> PAGEREF _Toc41651949 \h </w:instrText>
        </w:r>
        <w:r w:rsidR="004A7139">
          <w:rPr>
            <w:noProof/>
            <w:webHidden/>
          </w:rPr>
        </w:r>
        <w:r w:rsidR="004A7139">
          <w:rPr>
            <w:noProof/>
            <w:webHidden/>
          </w:rPr>
          <w:fldChar w:fldCharType="separate"/>
        </w:r>
        <w:r w:rsidR="002B61A5">
          <w:rPr>
            <w:noProof/>
            <w:webHidden/>
          </w:rPr>
          <w:t>9</w:t>
        </w:r>
        <w:r w:rsidR="004A7139">
          <w:rPr>
            <w:noProof/>
            <w:webHidden/>
          </w:rPr>
          <w:fldChar w:fldCharType="end"/>
        </w:r>
      </w:hyperlink>
    </w:p>
    <w:p w14:paraId="12F43FBF" w14:textId="63700A92" w:rsidR="004A7139" w:rsidRDefault="00D13461">
      <w:pPr>
        <w:pStyle w:val="TOC2"/>
        <w:rPr>
          <w:rFonts w:asciiTheme="minorHAnsi" w:eastAsiaTheme="minorEastAsia" w:hAnsiTheme="minorHAnsi" w:cstheme="minorBidi"/>
          <w:szCs w:val="22"/>
          <w:lang w:eastAsia="en-AU"/>
        </w:rPr>
      </w:pPr>
      <w:hyperlink w:anchor="_Toc41651950" w:history="1">
        <w:r w:rsidR="004A7139" w:rsidRPr="00BF53DD">
          <w:rPr>
            <w:rStyle w:val="Hyperlink"/>
          </w:rPr>
          <w:t>3.1</w:t>
        </w:r>
        <w:r w:rsidR="004A7139">
          <w:rPr>
            <w:rFonts w:asciiTheme="minorHAnsi" w:eastAsiaTheme="minorEastAsia" w:hAnsiTheme="minorHAnsi" w:cstheme="minorBidi"/>
            <w:szCs w:val="22"/>
            <w:lang w:eastAsia="en-AU"/>
          </w:rPr>
          <w:tab/>
        </w:r>
        <w:r w:rsidR="004A7139" w:rsidRPr="00BF53DD">
          <w:rPr>
            <w:rStyle w:val="Hyperlink"/>
          </w:rPr>
          <w:t>Trauma informed care and family violence</w:t>
        </w:r>
        <w:r w:rsidR="004A7139">
          <w:rPr>
            <w:webHidden/>
          </w:rPr>
          <w:tab/>
        </w:r>
        <w:r w:rsidR="004A7139">
          <w:rPr>
            <w:webHidden/>
          </w:rPr>
          <w:fldChar w:fldCharType="begin"/>
        </w:r>
        <w:r w:rsidR="004A7139">
          <w:rPr>
            <w:webHidden/>
          </w:rPr>
          <w:instrText xml:space="preserve"> PAGEREF _Toc41651950 \h </w:instrText>
        </w:r>
        <w:r w:rsidR="004A7139">
          <w:rPr>
            <w:webHidden/>
          </w:rPr>
        </w:r>
        <w:r w:rsidR="004A7139">
          <w:rPr>
            <w:webHidden/>
          </w:rPr>
          <w:fldChar w:fldCharType="separate"/>
        </w:r>
        <w:r w:rsidR="002B61A5">
          <w:rPr>
            <w:webHidden/>
          </w:rPr>
          <w:t>9</w:t>
        </w:r>
        <w:r w:rsidR="004A7139">
          <w:rPr>
            <w:webHidden/>
          </w:rPr>
          <w:fldChar w:fldCharType="end"/>
        </w:r>
      </w:hyperlink>
    </w:p>
    <w:p w14:paraId="3F3E2EBF" w14:textId="63C6DB99" w:rsidR="004A7139" w:rsidRDefault="00D13461">
      <w:pPr>
        <w:pStyle w:val="TOC2"/>
        <w:rPr>
          <w:rFonts w:asciiTheme="minorHAnsi" w:eastAsiaTheme="minorEastAsia" w:hAnsiTheme="minorHAnsi" w:cstheme="minorBidi"/>
          <w:szCs w:val="22"/>
          <w:lang w:eastAsia="en-AU"/>
        </w:rPr>
      </w:pPr>
      <w:hyperlink w:anchor="_Toc41651951" w:history="1">
        <w:r w:rsidR="004A7139" w:rsidRPr="00BF53DD">
          <w:rPr>
            <w:rStyle w:val="Hyperlink"/>
          </w:rPr>
          <w:t>3.2</w:t>
        </w:r>
        <w:r w:rsidR="004A7139">
          <w:rPr>
            <w:rFonts w:asciiTheme="minorHAnsi" w:eastAsiaTheme="minorEastAsia" w:hAnsiTheme="minorHAnsi" w:cstheme="minorBidi"/>
            <w:szCs w:val="22"/>
            <w:lang w:eastAsia="en-AU"/>
          </w:rPr>
          <w:tab/>
        </w:r>
        <w:r w:rsidR="004A7139" w:rsidRPr="00BF53DD">
          <w:rPr>
            <w:rStyle w:val="Hyperlink"/>
          </w:rPr>
          <w:t>Reducing regional inequalities</w:t>
        </w:r>
        <w:r w:rsidR="004A7139">
          <w:rPr>
            <w:webHidden/>
          </w:rPr>
          <w:tab/>
        </w:r>
        <w:r w:rsidR="004A7139">
          <w:rPr>
            <w:webHidden/>
          </w:rPr>
          <w:fldChar w:fldCharType="begin"/>
        </w:r>
        <w:r w:rsidR="004A7139">
          <w:rPr>
            <w:webHidden/>
          </w:rPr>
          <w:instrText xml:space="preserve"> PAGEREF _Toc41651951 \h </w:instrText>
        </w:r>
        <w:r w:rsidR="004A7139">
          <w:rPr>
            <w:webHidden/>
          </w:rPr>
        </w:r>
        <w:r w:rsidR="004A7139">
          <w:rPr>
            <w:webHidden/>
          </w:rPr>
          <w:fldChar w:fldCharType="separate"/>
        </w:r>
        <w:r w:rsidR="002B61A5">
          <w:rPr>
            <w:webHidden/>
          </w:rPr>
          <w:t>10</w:t>
        </w:r>
        <w:r w:rsidR="004A7139">
          <w:rPr>
            <w:webHidden/>
          </w:rPr>
          <w:fldChar w:fldCharType="end"/>
        </w:r>
      </w:hyperlink>
    </w:p>
    <w:p w14:paraId="4F941D3E" w14:textId="580BDEA1" w:rsidR="004A7139" w:rsidRDefault="00D13461">
      <w:pPr>
        <w:pStyle w:val="TOC2"/>
        <w:rPr>
          <w:rFonts w:asciiTheme="minorHAnsi" w:eastAsiaTheme="minorEastAsia" w:hAnsiTheme="minorHAnsi" w:cstheme="minorBidi"/>
          <w:szCs w:val="22"/>
          <w:lang w:eastAsia="en-AU"/>
        </w:rPr>
      </w:pPr>
      <w:hyperlink w:anchor="_Toc41651952" w:history="1">
        <w:r w:rsidR="004A7139" w:rsidRPr="00BF53DD">
          <w:rPr>
            <w:rStyle w:val="Hyperlink"/>
          </w:rPr>
          <w:t>3.3</w:t>
        </w:r>
        <w:r w:rsidR="004A7139">
          <w:rPr>
            <w:rFonts w:asciiTheme="minorHAnsi" w:eastAsiaTheme="minorEastAsia" w:hAnsiTheme="minorHAnsi" w:cstheme="minorBidi"/>
            <w:szCs w:val="22"/>
            <w:lang w:eastAsia="en-AU"/>
          </w:rPr>
          <w:tab/>
        </w:r>
        <w:r w:rsidR="004A7139" w:rsidRPr="00BF53DD">
          <w:rPr>
            <w:rStyle w:val="Hyperlink"/>
          </w:rPr>
          <w:t>Tailored, culturally safe and inclusive services</w:t>
        </w:r>
        <w:r w:rsidR="004A7139">
          <w:rPr>
            <w:webHidden/>
          </w:rPr>
          <w:tab/>
        </w:r>
        <w:r w:rsidR="004A7139">
          <w:rPr>
            <w:webHidden/>
          </w:rPr>
          <w:fldChar w:fldCharType="begin"/>
        </w:r>
        <w:r w:rsidR="004A7139">
          <w:rPr>
            <w:webHidden/>
          </w:rPr>
          <w:instrText xml:space="preserve"> PAGEREF _Toc41651952 \h </w:instrText>
        </w:r>
        <w:r w:rsidR="004A7139">
          <w:rPr>
            <w:webHidden/>
          </w:rPr>
        </w:r>
        <w:r w:rsidR="004A7139">
          <w:rPr>
            <w:webHidden/>
          </w:rPr>
          <w:fldChar w:fldCharType="separate"/>
        </w:r>
        <w:r w:rsidR="002B61A5">
          <w:rPr>
            <w:webHidden/>
          </w:rPr>
          <w:t>11</w:t>
        </w:r>
        <w:r w:rsidR="004A7139">
          <w:rPr>
            <w:webHidden/>
          </w:rPr>
          <w:fldChar w:fldCharType="end"/>
        </w:r>
      </w:hyperlink>
    </w:p>
    <w:p w14:paraId="0032B4C9" w14:textId="7E4E007B" w:rsidR="004A7139" w:rsidRDefault="00D13461">
      <w:pPr>
        <w:pStyle w:val="TOC1"/>
        <w:rPr>
          <w:rFonts w:asciiTheme="minorHAnsi" w:eastAsiaTheme="minorEastAsia" w:hAnsiTheme="minorHAnsi" w:cstheme="minorBidi"/>
          <w:b w:val="0"/>
          <w:noProof/>
          <w:szCs w:val="22"/>
          <w:lang w:eastAsia="en-AU"/>
        </w:rPr>
      </w:pPr>
      <w:hyperlink w:anchor="_Toc41651953" w:history="1">
        <w:r w:rsidR="004A7139" w:rsidRPr="00BF53DD">
          <w:rPr>
            <w:rStyle w:val="Hyperlink"/>
            <w:noProof/>
          </w:rPr>
          <w:t>4</w:t>
        </w:r>
        <w:r w:rsidR="004A7139">
          <w:rPr>
            <w:rFonts w:asciiTheme="minorHAnsi" w:eastAsiaTheme="minorEastAsia" w:hAnsiTheme="minorHAnsi" w:cstheme="minorBidi"/>
            <w:b w:val="0"/>
            <w:noProof/>
            <w:szCs w:val="22"/>
            <w:lang w:eastAsia="en-AU"/>
          </w:rPr>
          <w:tab/>
        </w:r>
        <w:r w:rsidR="004A7139" w:rsidRPr="00BF53DD">
          <w:rPr>
            <w:rStyle w:val="Hyperlink"/>
            <w:noProof/>
          </w:rPr>
          <w:t>Service delivery and community supports</w:t>
        </w:r>
        <w:r w:rsidR="004A7139">
          <w:rPr>
            <w:noProof/>
            <w:webHidden/>
          </w:rPr>
          <w:tab/>
        </w:r>
        <w:r w:rsidR="004A7139">
          <w:rPr>
            <w:noProof/>
            <w:webHidden/>
          </w:rPr>
          <w:fldChar w:fldCharType="begin"/>
        </w:r>
        <w:r w:rsidR="004A7139">
          <w:rPr>
            <w:noProof/>
            <w:webHidden/>
          </w:rPr>
          <w:instrText xml:space="preserve"> PAGEREF _Toc41651953 \h </w:instrText>
        </w:r>
        <w:r w:rsidR="004A7139">
          <w:rPr>
            <w:noProof/>
            <w:webHidden/>
          </w:rPr>
        </w:r>
        <w:r w:rsidR="004A7139">
          <w:rPr>
            <w:noProof/>
            <w:webHidden/>
          </w:rPr>
          <w:fldChar w:fldCharType="separate"/>
        </w:r>
        <w:r w:rsidR="002B61A5">
          <w:rPr>
            <w:noProof/>
            <w:webHidden/>
          </w:rPr>
          <w:t>13</w:t>
        </w:r>
        <w:r w:rsidR="004A7139">
          <w:rPr>
            <w:noProof/>
            <w:webHidden/>
          </w:rPr>
          <w:fldChar w:fldCharType="end"/>
        </w:r>
      </w:hyperlink>
    </w:p>
    <w:p w14:paraId="344E2DA8" w14:textId="613A2B7D" w:rsidR="004A7139" w:rsidRDefault="00D13461">
      <w:pPr>
        <w:pStyle w:val="TOC2"/>
        <w:rPr>
          <w:rFonts w:asciiTheme="minorHAnsi" w:eastAsiaTheme="minorEastAsia" w:hAnsiTheme="minorHAnsi" w:cstheme="minorBidi"/>
          <w:szCs w:val="22"/>
          <w:lang w:eastAsia="en-AU"/>
        </w:rPr>
      </w:pPr>
      <w:hyperlink w:anchor="_Toc41651954" w:history="1">
        <w:r w:rsidR="004A7139" w:rsidRPr="00BF53DD">
          <w:rPr>
            <w:rStyle w:val="Hyperlink"/>
          </w:rPr>
          <w:t>4.1</w:t>
        </w:r>
        <w:r w:rsidR="004A7139">
          <w:rPr>
            <w:rFonts w:asciiTheme="minorHAnsi" w:eastAsiaTheme="minorEastAsia" w:hAnsiTheme="minorHAnsi" w:cstheme="minorBidi"/>
            <w:szCs w:val="22"/>
            <w:lang w:eastAsia="en-AU"/>
          </w:rPr>
          <w:tab/>
        </w:r>
        <w:r w:rsidR="004A7139" w:rsidRPr="00BF53DD">
          <w:rPr>
            <w:rStyle w:val="Hyperlink"/>
          </w:rPr>
          <w:t>Supported decision-making, recovery and least restrictive practice</w:t>
        </w:r>
        <w:r w:rsidR="004A7139">
          <w:rPr>
            <w:webHidden/>
          </w:rPr>
          <w:tab/>
        </w:r>
        <w:r w:rsidR="004A7139">
          <w:rPr>
            <w:webHidden/>
          </w:rPr>
          <w:fldChar w:fldCharType="begin"/>
        </w:r>
        <w:r w:rsidR="004A7139">
          <w:rPr>
            <w:webHidden/>
          </w:rPr>
          <w:instrText xml:space="preserve"> PAGEREF _Toc41651954 \h </w:instrText>
        </w:r>
        <w:r w:rsidR="004A7139">
          <w:rPr>
            <w:webHidden/>
          </w:rPr>
        </w:r>
        <w:r w:rsidR="004A7139">
          <w:rPr>
            <w:webHidden/>
          </w:rPr>
          <w:fldChar w:fldCharType="separate"/>
        </w:r>
        <w:r w:rsidR="002B61A5">
          <w:rPr>
            <w:webHidden/>
          </w:rPr>
          <w:t>13</w:t>
        </w:r>
        <w:r w:rsidR="004A7139">
          <w:rPr>
            <w:webHidden/>
          </w:rPr>
          <w:fldChar w:fldCharType="end"/>
        </w:r>
      </w:hyperlink>
    </w:p>
    <w:p w14:paraId="363A4712" w14:textId="05B04F0D" w:rsidR="004A7139" w:rsidRDefault="00D13461">
      <w:pPr>
        <w:pStyle w:val="TOC2"/>
        <w:rPr>
          <w:rFonts w:asciiTheme="minorHAnsi" w:eastAsiaTheme="minorEastAsia" w:hAnsiTheme="minorHAnsi" w:cstheme="minorBidi"/>
          <w:szCs w:val="22"/>
          <w:lang w:eastAsia="en-AU"/>
        </w:rPr>
      </w:pPr>
      <w:hyperlink w:anchor="_Toc41651955" w:history="1">
        <w:r w:rsidR="004A7139" w:rsidRPr="00BF53DD">
          <w:rPr>
            <w:rStyle w:val="Hyperlink"/>
          </w:rPr>
          <w:t>4.2</w:t>
        </w:r>
        <w:r w:rsidR="004A7139">
          <w:rPr>
            <w:rFonts w:asciiTheme="minorHAnsi" w:eastAsiaTheme="minorEastAsia" w:hAnsiTheme="minorHAnsi" w:cstheme="minorBidi"/>
            <w:szCs w:val="22"/>
            <w:lang w:eastAsia="en-AU"/>
          </w:rPr>
          <w:tab/>
        </w:r>
        <w:r w:rsidR="004A7139" w:rsidRPr="00BF53DD">
          <w:rPr>
            <w:rStyle w:val="Hyperlink"/>
          </w:rPr>
          <w:t>Flexible treatment and support options</w:t>
        </w:r>
        <w:r w:rsidR="004A7139">
          <w:rPr>
            <w:webHidden/>
          </w:rPr>
          <w:tab/>
        </w:r>
        <w:r w:rsidR="004A7139">
          <w:rPr>
            <w:webHidden/>
          </w:rPr>
          <w:fldChar w:fldCharType="begin"/>
        </w:r>
        <w:r w:rsidR="004A7139">
          <w:rPr>
            <w:webHidden/>
          </w:rPr>
          <w:instrText xml:space="preserve"> PAGEREF _Toc41651955 \h </w:instrText>
        </w:r>
        <w:r w:rsidR="004A7139">
          <w:rPr>
            <w:webHidden/>
          </w:rPr>
        </w:r>
        <w:r w:rsidR="004A7139">
          <w:rPr>
            <w:webHidden/>
          </w:rPr>
          <w:fldChar w:fldCharType="separate"/>
        </w:r>
        <w:r w:rsidR="002B61A5">
          <w:rPr>
            <w:webHidden/>
          </w:rPr>
          <w:t>15</w:t>
        </w:r>
        <w:r w:rsidR="004A7139">
          <w:rPr>
            <w:webHidden/>
          </w:rPr>
          <w:fldChar w:fldCharType="end"/>
        </w:r>
      </w:hyperlink>
    </w:p>
    <w:p w14:paraId="74C558E0" w14:textId="2FCB9FB1" w:rsidR="004A7139" w:rsidRDefault="00D13461">
      <w:pPr>
        <w:pStyle w:val="TOC2"/>
        <w:rPr>
          <w:rFonts w:asciiTheme="minorHAnsi" w:eastAsiaTheme="minorEastAsia" w:hAnsiTheme="minorHAnsi" w:cstheme="minorBidi"/>
          <w:szCs w:val="22"/>
          <w:lang w:eastAsia="en-AU"/>
        </w:rPr>
      </w:pPr>
      <w:hyperlink w:anchor="_Toc41651956" w:history="1">
        <w:r w:rsidR="004A7139" w:rsidRPr="00BF53DD">
          <w:rPr>
            <w:rStyle w:val="Hyperlink"/>
          </w:rPr>
          <w:t>4.3</w:t>
        </w:r>
        <w:r w:rsidR="004A7139">
          <w:rPr>
            <w:rFonts w:asciiTheme="minorHAnsi" w:eastAsiaTheme="minorEastAsia" w:hAnsiTheme="minorHAnsi" w:cstheme="minorBidi"/>
            <w:szCs w:val="22"/>
            <w:lang w:eastAsia="en-AU"/>
          </w:rPr>
          <w:tab/>
        </w:r>
        <w:r w:rsidR="004A7139" w:rsidRPr="00BF53DD">
          <w:rPr>
            <w:rStyle w:val="Hyperlink"/>
          </w:rPr>
          <w:t>Coordination between mental health, health and disability supports</w:t>
        </w:r>
        <w:r w:rsidR="004A7139">
          <w:rPr>
            <w:webHidden/>
          </w:rPr>
          <w:tab/>
        </w:r>
        <w:r w:rsidR="004A7139">
          <w:rPr>
            <w:webHidden/>
          </w:rPr>
          <w:fldChar w:fldCharType="begin"/>
        </w:r>
        <w:r w:rsidR="004A7139">
          <w:rPr>
            <w:webHidden/>
          </w:rPr>
          <w:instrText xml:space="preserve"> PAGEREF _Toc41651956 \h </w:instrText>
        </w:r>
        <w:r w:rsidR="004A7139">
          <w:rPr>
            <w:webHidden/>
          </w:rPr>
        </w:r>
        <w:r w:rsidR="004A7139">
          <w:rPr>
            <w:webHidden/>
          </w:rPr>
          <w:fldChar w:fldCharType="separate"/>
        </w:r>
        <w:r w:rsidR="002B61A5">
          <w:rPr>
            <w:webHidden/>
          </w:rPr>
          <w:t>16</w:t>
        </w:r>
        <w:r w:rsidR="004A7139">
          <w:rPr>
            <w:webHidden/>
          </w:rPr>
          <w:fldChar w:fldCharType="end"/>
        </w:r>
      </w:hyperlink>
    </w:p>
    <w:p w14:paraId="51EF7353" w14:textId="4998B3A4" w:rsidR="004A7139" w:rsidRDefault="00D13461">
      <w:pPr>
        <w:pStyle w:val="TOC2"/>
        <w:rPr>
          <w:rFonts w:asciiTheme="minorHAnsi" w:eastAsiaTheme="minorEastAsia" w:hAnsiTheme="minorHAnsi" w:cstheme="minorBidi"/>
          <w:szCs w:val="22"/>
          <w:lang w:eastAsia="en-AU"/>
        </w:rPr>
      </w:pPr>
      <w:hyperlink w:anchor="_Toc41651957" w:history="1">
        <w:r w:rsidR="004A7139" w:rsidRPr="00BF53DD">
          <w:rPr>
            <w:rStyle w:val="Hyperlink"/>
          </w:rPr>
          <w:t>4.4</w:t>
        </w:r>
        <w:r w:rsidR="004A7139">
          <w:rPr>
            <w:rFonts w:asciiTheme="minorHAnsi" w:eastAsiaTheme="minorEastAsia" w:hAnsiTheme="minorHAnsi" w:cstheme="minorBidi"/>
            <w:szCs w:val="22"/>
            <w:lang w:eastAsia="en-AU"/>
          </w:rPr>
          <w:tab/>
        </w:r>
        <w:r w:rsidR="004A7139" w:rsidRPr="00BF53DD">
          <w:rPr>
            <w:rStyle w:val="Hyperlink"/>
          </w:rPr>
          <w:t>Secure Extended Care Units</w:t>
        </w:r>
        <w:r w:rsidR="004A7139">
          <w:rPr>
            <w:webHidden/>
          </w:rPr>
          <w:tab/>
        </w:r>
        <w:r w:rsidR="004A7139">
          <w:rPr>
            <w:webHidden/>
          </w:rPr>
          <w:fldChar w:fldCharType="begin"/>
        </w:r>
        <w:r w:rsidR="004A7139">
          <w:rPr>
            <w:webHidden/>
          </w:rPr>
          <w:instrText xml:space="preserve"> PAGEREF _Toc41651957 \h </w:instrText>
        </w:r>
        <w:r w:rsidR="004A7139">
          <w:rPr>
            <w:webHidden/>
          </w:rPr>
        </w:r>
        <w:r w:rsidR="004A7139">
          <w:rPr>
            <w:webHidden/>
          </w:rPr>
          <w:fldChar w:fldCharType="separate"/>
        </w:r>
        <w:r w:rsidR="002B61A5">
          <w:rPr>
            <w:webHidden/>
          </w:rPr>
          <w:t>17</w:t>
        </w:r>
        <w:r w:rsidR="004A7139">
          <w:rPr>
            <w:webHidden/>
          </w:rPr>
          <w:fldChar w:fldCharType="end"/>
        </w:r>
      </w:hyperlink>
    </w:p>
    <w:p w14:paraId="6A280AFF" w14:textId="1A983FE5" w:rsidR="004A7139" w:rsidRDefault="00D13461">
      <w:pPr>
        <w:pStyle w:val="TOC2"/>
        <w:rPr>
          <w:rFonts w:asciiTheme="minorHAnsi" w:eastAsiaTheme="minorEastAsia" w:hAnsiTheme="minorHAnsi" w:cstheme="minorBidi"/>
          <w:szCs w:val="22"/>
          <w:lang w:eastAsia="en-AU"/>
        </w:rPr>
      </w:pPr>
      <w:hyperlink w:anchor="_Toc41651958" w:history="1">
        <w:r w:rsidR="004A7139" w:rsidRPr="00BF53DD">
          <w:rPr>
            <w:rStyle w:val="Hyperlink"/>
          </w:rPr>
          <w:t>4.5</w:t>
        </w:r>
        <w:r w:rsidR="004A7139">
          <w:rPr>
            <w:rFonts w:asciiTheme="minorHAnsi" w:eastAsiaTheme="minorEastAsia" w:hAnsiTheme="minorHAnsi" w:cstheme="minorBidi"/>
            <w:szCs w:val="22"/>
            <w:lang w:eastAsia="en-AU"/>
          </w:rPr>
          <w:tab/>
        </w:r>
        <w:r w:rsidR="004A7139" w:rsidRPr="00BF53DD">
          <w:rPr>
            <w:rStyle w:val="Hyperlink"/>
          </w:rPr>
          <w:t>Safe and stable housing</w:t>
        </w:r>
        <w:r w:rsidR="004A7139">
          <w:rPr>
            <w:webHidden/>
          </w:rPr>
          <w:tab/>
        </w:r>
        <w:r w:rsidR="004A7139">
          <w:rPr>
            <w:webHidden/>
          </w:rPr>
          <w:fldChar w:fldCharType="begin"/>
        </w:r>
        <w:r w:rsidR="004A7139">
          <w:rPr>
            <w:webHidden/>
          </w:rPr>
          <w:instrText xml:space="preserve"> PAGEREF _Toc41651958 \h </w:instrText>
        </w:r>
        <w:r w:rsidR="004A7139">
          <w:rPr>
            <w:webHidden/>
          </w:rPr>
        </w:r>
        <w:r w:rsidR="004A7139">
          <w:rPr>
            <w:webHidden/>
          </w:rPr>
          <w:fldChar w:fldCharType="separate"/>
        </w:r>
        <w:r w:rsidR="002B61A5">
          <w:rPr>
            <w:webHidden/>
          </w:rPr>
          <w:t>18</w:t>
        </w:r>
        <w:r w:rsidR="004A7139">
          <w:rPr>
            <w:webHidden/>
          </w:rPr>
          <w:fldChar w:fldCharType="end"/>
        </w:r>
      </w:hyperlink>
    </w:p>
    <w:p w14:paraId="1D3ABC4B" w14:textId="41EA70C0" w:rsidR="004A7139" w:rsidRDefault="00D13461">
      <w:pPr>
        <w:pStyle w:val="TOC1"/>
        <w:rPr>
          <w:rFonts w:asciiTheme="minorHAnsi" w:eastAsiaTheme="minorEastAsia" w:hAnsiTheme="minorHAnsi" w:cstheme="minorBidi"/>
          <w:b w:val="0"/>
          <w:noProof/>
          <w:szCs w:val="22"/>
          <w:lang w:eastAsia="en-AU"/>
        </w:rPr>
      </w:pPr>
      <w:hyperlink w:anchor="_Toc41651959" w:history="1">
        <w:r w:rsidR="004A7139" w:rsidRPr="00BF53DD">
          <w:rPr>
            <w:rStyle w:val="Hyperlink"/>
            <w:noProof/>
          </w:rPr>
          <w:t>5</w:t>
        </w:r>
        <w:r w:rsidR="004A7139">
          <w:rPr>
            <w:rFonts w:asciiTheme="minorHAnsi" w:eastAsiaTheme="minorEastAsia" w:hAnsiTheme="minorHAnsi" w:cstheme="minorBidi"/>
            <w:b w:val="0"/>
            <w:noProof/>
            <w:szCs w:val="22"/>
            <w:lang w:eastAsia="en-AU"/>
          </w:rPr>
          <w:tab/>
        </w:r>
        <w:r w:rsidR="004A7139" w:rsidRPr="00BF53DD">
          <w:rPr>
            <w:rStyle w:val="Hyperlink"/>
            <w:noProof/>
          </w:rPr>
          <w:t>Mental health system oversight</w:t>
        </w:r>
        <w:r w:rsidR="004A7139">
          <w:rPr>
            <w:noProof/>
            <w:webHidden/>
          </w:rPr>
          <w:tab/>
        </w:r>
        <w:r w:rsidR="004A7139">
          <w:rPr>
            <w:noProof/>
            <w:webHidden/>
          </w:rPr>
          <w:fldChar w:fldCharType="begin"/>
        </w:r>
        <w:r w:rsidR="004A7139">
          <w:rPr>
            <w:noProof/>
            <w:webHidden/>
          </w:rPr>
          <w:instrText xml:space="preserve"> PAGEREF _Toc41651959 \h </w:instrText>
        </w:r>
        <w:r w:rsidR="004A7139">
          <w:rPr>
            <w:noProof/>
            <w:webHidden/>
          </w:rPr>
        </w:r>
        <w:r w:rsidR="004A7139">
          <w:rPr>
            <w:noProof/>
            <w:webHidden/>
          </w:rPr>
          <w:fldChar w:fldCharType="separate"/>
        </w:r>
        <w:r w:rsidR="002B61A5">
          <w:rPr>
            <w:noProof/>
            <w:webHidden/>
          </w:rPr>
          <w:t>19</w:t>
        </w:r>
        <w:r w:rsidR="004A7139">
          <w:rPr>
            <w:noProof/>
            <w:webHidden/>
          </w:rPr>
          <w:fldChar w:fldCharType="end"/>
        </w:r>
      </w:hyperlink>
    </w:p>
    <w:p w14:paraId="7156530C" w14:textId="0A8D3D54" w:rsidR="004A7139" w:rsidRDefault="00D13461">
      <w:pPr>
        <w:pStyle w:val="TOC2"/>
        <w:rPr>
          <w:rFonts w:asciiTheme="minorHAnsi" w:eastAsiaTheme="minorEastAsia" w:hAnsiTheme="minorHAnsi" w:cstheme="minorBidi"/>
          <w:szCs w:val="22"/>
          <w:lang w:eastAsia="en-AU"/>
        </w:rPr>
      </w:pPr>
      <w:hyperlink w:anchor="_Toc41651960" w:history="1">
        <w:r w:rsidR="004A7139" w:rsidRPr="00BF53DD">
          <w:rPr>
            <w:rStyle w:val="Hyperlink"/>
          </w:rPr>
          <w:t>5.1</w:t>
        </w:r>
        <w:r w:rsidR="004A7139">
          <w:rPr>
            <w:rFonts w:asciiTheme="minorHAnsi" w:eastAsiaTheme="minorEastAsia" w:hAnsiTheme="minorHAnsi" w:cstheme="minorBidi"/>
            <w:szCs w:val="22"/>
            <w:lang w:eastAsia="en-AU"/>
          </w:rPr>
          <w:tab/>
        </w:r>
        <w:r w:rsidR="004A7139" w:rsidRPr="00BF53DD">
          <w:rPr>
            <w:rStyle w:val="Hyperlink"/>
          </w:rPr>
          <w:t>Reforming compulsory mental health treatment</w:t>
        </w:r>
        <w:r w:rsidR="004A7139">
          <w:rPr>
            <w:webHidden/>
          </w:rPr>
          <w:tab/>
        </w:r>
        <w:r w:rsidR="004A7139">
          <w:rPr>
            <w:webHidden/>
          </w:rPr>
          <w:fldChar w:fldCharType="begin"/>
        </w:r>
        <w:r w:rsidR="004A7139">
          <w:rPr>
            <w:webHidden/>
          </w:rPr>
          <w:instrText xml:space="preserve"> PAGEREF _Toc41651960 \h </w:instrText>
        </w:r>
        <w:r w:rsidR="004A7139">
          <w:rPr>
            <w:webHidden/>
          </w:rPr>
        </w:r>
        <w:r w:rsidR="004A7139">
          <w:rPr>
            <w:webHidden/>
          </w:rPr>
          <w:fldChar w:fldCharType="separate"/>
        </w:r>
        <w:r w:rsidR="002B61A5">
          <w:rPr>
            <w:webHidden/>
          </w:rPr>
          <w:t>19</w:t>
        </w:r>
        <w:r w:rsidR="004A7139">
          <w:rPr>
            <w:webHidden/>
          </w:rPr>
          <w:fldChar w:fldCharType="end"/>
        </w:r>
      </w:hyperlink>
    </w:p>
    <w:p w14:paraId="17BCF058" w14:textId="44BC1C3E" w:rsidR="004A7139" w:rsidRDefault="00D13461">
      <w:pPr>
        <w:pStyle w:val="TOC2"/>
        <w:rPr>
          <w:rFonts w:asciiTheme="minorHAnsi" w:eastAsiaTheme="minorEastAsia" w:hAnsiTheme="minorHAnsi" w:cstheme="minorBidi"/>
          <w:szCs w:val="22"/>
          <w:lang w:eastAsia="en-AU"/>
        </w:rPr>
      </w:pPr>
      <w:hyperlink w:anchor="_Toc41651961" w:history="1">
        <w:r w:rsidR="004A7139" w:rsidRPr="00BF53DD">
          <w:rPr>
            <w:rStyle w:val="Hyperlink"/>
          </w:rPr>
          <w:t>5.2</w:t>
        </w:r>
        <w:r w:rsidR="004A7139">
          <w:rPr>
            <w:rFonts w:asciiTheme="minorHAnsi" w:eastAsiaTheme="minorEastAsia" w:hAnsiTheme="minorHAnsi" w:cstheme="minorBidi"/>
            <w:szCs w:val="22"/>
            <w:lang w:eastAsia="en-AU"/>
          </w:rPr>
          <w:tab/>
        </w:r>
        <w:r w:rsidR="004A7139" w:rsidRPr="00BF53DD">
          <w:rPr>
            <w:rStyle w:val="Hyperlink"/>
          </w:rPr>
          <w:t>Measurement and monitoring</w:t>
        </w:r>
        <w:r w:rsidR="004A7139">
          <w:rPr>
            <w:webHidden/>
          </w:rPr>
          <w:tab/>
        </w:r>
        <w:r w:rsidR="004A7139">
          <w:rPr>
            <w:webHidden/>
          </w:rPr>
          <w:fldChar w:fldCharType="begin"/>
        </w:r>
        <w:r w:rsidR="004A7139">
          <w:rPr>
            <w:webHidden/>
          </w:rPr>
          <w:instrText xml:space="preserve"> PAGEREF _Toc41651961 \h </w:instrText>
        </w:r>
        <w:r w:rsidR="004A7139">
          <w:rPr>
            <w:webHidden/>
          </w:rPr>
        </w:r>
        <w:r w:rsidR="004A7139">
          <w:rPr>
            <w:webHidden/>
          </w:rPr>
          <w:fldChar w:fldCharType="separate"/>
        </w:r>
        <w:r w:rsidR="002B61A5">
          <w:rPr>
            <w:webHidden/>
          </w:rPr>
          <w:t>23</w:t>
        </w:r>
        <w:r w:rsidR="004A7139">
          <w:rPr>
            <w:webHidden/>
          </w:rPr>
          <w:fldChar w:fldCharType="end"/>
        </w:r>
      </w:hyperlink>
    </w:p>
    <w:p w14:paraId="465D128C" w14:textId="751E7102" w:rsidR="004A7139" w:rsidRDefault="00D13461">
      <w:pPr>
        <w:pStyle w:val="TOC2"/>
        <w:rPr>
          <w:rFonts w:asciiTheme="minorHAnsi" w:eastAsiaTheme="minorEastAsia" w:hAnsiTheme="minorHAnsi" w:cstheme="minorBidi"/>
          <w:szCs w:val="22"/>
          <w:lang w:eastAsia="en-AU"/>
        </w:rPr>
      </w:pPr>
      <w:hyperlink w:anchor="_Toc41651962" w:history="1">
        <w:r w:rsidR="004A7139" w:rsidRPr="00BF53DD">
          <w:rPr>
            <w:rStyle w:val="Hyperlink"/>
          </w:rPr>
          <w:t>5.3</w:t>
        </w:r>
        <w:r w:rsidR="004A7139">
          <w:rPr>
            <w:rFonts w:asciiTheme="minorHAnsi" w:eastAsiaTheme="minorEastAsia" w:hAnsiTheme="minorHAnsi" w:cstheme="minorBidi"/>
            <w:szCs w:val="22"/>
            <w:lang w:eastAsia="en-AU"/>
          </w:rPr>
          <w:tab/>
        </w:r>
        <w:r w:rsidR="004A7139" w:rsidRPr="00BF53DD">
          <w:rPr>
            <w:rStyle w:val="Hyperlink"/>
          </w:rPr>
          <w:t>Regulation and oversight</w:t>
        </w:r>
        <w:r w:rsidR="004A7139">
          <w:rPr>
            <w:webHidden/>
          </w:rPr>
          <w:tab/>
        </w:r>
        <w:r w:rsidR="004A7139">
          <w:rPr>
            <w:webHidden/>
          </w:rPr>
          <w:fldChar w:fldCharType="begin"/>
        </w:r>
        <w:r w:rsidR="004A7139">
          <w:rPr>
            <w:webHidden/>
          </w:rPr>
          <w:instrText xml:space="preserve"> PAGEREF _Toc41651962 \h </w:instrText>
        </w:r>
        <w:r w:rsidR="004A7139">
          <w:rPr>
            <w:webHidden/>
          </w:rPr>
        </w:r>
        <w:r w:rsidR="004A7139">
          <w:rPr>
            <w:webHidden/>
          </w:rPr>
          <w:fldChar w:fldCharType="separate"/>
        </w:r>
        <w:r w:rsidR="002B61A5">
          <w:rPr>
            <w:webHidden/>
          </w:rPr>
          <w:t>26</w:t>
        </w:r>
        <w:r w:rsidR="004A7139">
          <w:rPr>
            <w:webHidden/>
          </w:rPr>
          <w:fldChar w:fldCharType="end"/>
        </w:r>
      </w:hyperlink>
    </w:p>
    <w:p w14:paraId="7B9D4FA2" w14:textId="26CBC3C2" w:rsidR="004A7139" w:rsidRDefault="00D13461">
      <w:pPr>
        <w:pStyle w:val="TOC1"/>
        <w:rPr>
          <w:rFonts w:asciiTheme="minorHAnsi" w:eastAsiaTheme="minorEastAsia" w:hAnsiTheme="minorHAnsi" w:cstheme="minorBidi"/>
          <w:b w:val="0"/>
          <w:noProof/>
          <w:szCs w:val="22"/>
          <w:lang w:eastAsia="en-AU"/>
        </w:rPr>
      </w:pPr>
      <w:hyperlink w:anchor="_Toc41651963" w:history="1">
        <w:r w:rsidR="004A7139" w:rsidRPr="00BF53DD">
          <w:rPr>
            <w:rStyle w:val="Hyperlink"/>
            <w:noProof/>
          </w:rPr>
          <w:t>6</w:t>
        </w:r>
        <w:r w:rsidR="004A7139">
          <w:rPr>
            <w:rFonts w:asciiTheme="minorHAnsi" w:eastAsiaTheme="minorEastAsia" w:hAnsiTheme="minorHAnsi" w:cstheme="minorBidi"/>
            <w:b w:val="0"/>
            <w:noProof/>
            <w:szCs w:val="22"/>
            <w:lang w:eastAsia="en-AU"/>
          </w:rPr>
          <w:tab/>
        </w:r>
        <w:r w:rsidR="004A7139" w:rsidRPr="00BF53DD">
          <w:rPr>
            <w:rStyle w:val="Hyperlink"/>
            <w:noProof/>
          </w:rPr>
          <w:t>Human rights and discrimination law</w:t>
        </w:r>
        <w:r w:rsidR="004A7139">
          <w:rPr>
            <w:noProof/>
            <w:webHidden/>
          </w:rPr>
          <w:tab/>
        </w:r>
        <w:r w:rsidR="004A7139">
          <w:rPr>
            <w:noProof/>
            <w:webHidden/>
          </w:rPr>
          <w:fldChar w:fldCharType="begin"/>
        </w:r>
        <w:r w:rsidR="004A7139">
          <w:rPr>
            <w:noProof/>
            <w:webHidden/>
          </w:rPr>
          <w:instrText xml:space="preserve"> PAGEREF _Toc41651963 \h </w:instrText>
        </w:r>
        <w:r w:rsidR="004A7139">
          <w:rPr>
            <w:noProof/>
            <w:webHidden/>
          </w:rPr>
        </w:r>
        <w:r w:rsidR="004A7139">
          <w:rPr>
            <w:noProof/>
            <w:webHidden/>
          </w:rPr>
          <w:fldChar w:fldCharType="separate"/>
        </w:r>
        <w:r w:rsidR="002B61A5">
          <w:rPr>
            <w:noProof/>
            <w:webHidden/>
          </w:rPr>
          <w:t>27</w:t>
        </w:r>
        <w:r w:rsidR="004A7139">
          <w:rPr>
            <w:noProof/>
            <w:webHidden/>
          </w:rPr>
          <w:fldChar w:fldCharType="end"/>
        </w:r>
      </w:hyperlink>
    </w:p>
    <w:p w14:paraId="5D0504B1" w14:textId="144BEC3B" w:rsidR="004A7139" w:rsidRDefault="00D13461">
      <w:pPr>
        <w:pStyle w:val="TOC2"/>
        <w:rPr>
          <w:rFonts w:asciiTheme="minorHAnsi" w:eastAsiaTheme="minorEastAsia" w:hAnsiTheme="minorHAnsi" w:cstheme="minorBidi"/>
          <w:szCs w:val="22"/>
          <w:lang w:eastAsia="en-AU"/>
        </w:rPr>
      </w:pPr>
      <w:hyperlink w:anchor="_Toc41651964" w:history="1">
        <w:r w:rsidR="004A7139" w:rsidRPr="00BF53DD">
          <w:rPr>
            <w:rStyle w:val="Hyperlink"/>
          </w:rPr>
          <w:t>6.1</w:t>
        </w:r>
        <w:r w:rsidR="004A7139">
          <w:rPr>
            <w:rFonts w:asciiTheme="minorHAnsi" w:eastAsiaTheme="minorEastAsia" w:hAnsiTheme="minorHAnsi" w:cstheme="minorBidi"/>
            <w:szCs w:val="22"/>
            <w:lang w:eastAsia="en-AU"/>
          </w:rPr>
          <w:tab/>
        </w:r>
        <w:r w:rsidR="004A7139" w:rsidRPr="00BF53DD">
          <w:rPr>
            <w:rStyle w:val="Hyperlink"/>
          </w:rPr>
          <w:t>Framework to eliminate use of restrictive practices</w:t>
        </w:r>
        <w:r w:rsidR="004A7139">
          <w:rPr>
            <w:webHidden/>
          </w:rPr>
          <w:tab/>
        </w:r>
        <w:r w:rsidR="004A7139">
          <w:rPr>
            <w:webHidden/>
          </w:rPr>
          <w:fldChar w:fldCharType="begin"/>
        </w:r>
        <w:r w:rsidR="004A7139">
          <w:rPr>
            <w:webHidden/>
          </w:rPr>
          <w:instrText xml:space="preserve"> PAGEREF _Toc41651964 \h </w:instrText>
        </w:r>
        <w:r w:rsidR="004A7139">
          <w:rPr>
            <w:webHidden/>
          </w:rPr>
        </w:r>
        <w:r w:rsidR="004A7139">
          <w:rPr>
            <w:webHidden/>
          </w:rPr>
          <w:fldChar w:fldCharType="separate"/>
        </w:r>
        <w:r w:rsidR="002B61A5">
          <w:rPr>
            <w:webHidden/>
          </w:rPr>
          <w:t>27</w:t>
        </w:r>
        <w:r w:rsidR="004A7139">
          <w:rPr>
            <w:webHidden/>
          </w:rPr>
          <w:fldChar w:fldCharType="end"/>
        </w:r>
      </w:hyperlink>
    </w:p>
    <w:p w14:paraId="2491EA78" w14:textId="35E6E3DA" w:rsidR="004A7139" w:rsidRDefault="00D13461">
      <w:pPr>
        <w:pStyle w:val="TOC2"/>
        <w:rPr>
          <w:rFonts w:asciiTheme="minorHAnsi" w:eastAsiaTheme="minorEastAsia" w:hAnsiTheme="minorHAnsi" w:cstheme="minorBidi"/>
          <w:szCs w:val="22"/>
          <w:lang w:eastAsia="en-AU"/>
        </w:rPr>
      </w:pPr>
      <w:hyperlink w:anchor="_Toc41651965" w:history="1">
        <w:r w:rsidR="004A7139" w:rsidRPr="00BF53DD">
          <w:rPr>
            <w:rStyle w:val="Hyperlink"/>
          </w:rPr>
          <w:t>6.2</w:t>
        </w:r>
        <w:r w:rsidR="004A7139">
          <w:rPr>
            <w:rFonts w:asciiTheme="minorHAnsi" w:eastAsiaTheme="minorEastAsia" w:hAnsiTheme="minorHAnsi" w:cstheme="minorBidi"/>
            <w:szCs w:val="22"/>
            <w:lang w:eastAsia="en-AU"/>
          </w:rPr>
          <w:tab/>
        </w:r>
        <w:r w:rsidR="004A7139" w:rsidRPr="00BF53DD">
          <w:rPr>
            <w:rStyle w:val="Hyperlink"/>
          </w:rPr>
          <w:t>Stronger human rights protections</w:t>
        </w:r>
        <w:r w:rsidR="004A7139">
          <w:rPr>
            <w:webHidden/>
          </w:rPr>
          <w:tab/>
        </w:r>
        <w:r w:rsidR="004A7139">
          <w:rPr>
            <w:webHidden/>
          </w:rPr>
          <w:fldChar w:fldCharType="begin"/>
        </w:r>
        <w:r w:rsidR="004A7139">
          <w:rPr>
            <w:webHidden/>
          </w:rPr>
          <w:instrText xml:space="preserve"> PAGEREF _Toc41651965 \h </w:instrText>
        </w:r>
        <w:r w:rsidR="004A7139">
          <w:rPr>
            <w:webHidden/>
          </w:rPr>
        </w:r>
        <w:r w:rsidR="004A7139">
          <w:rPr>
            <w:webHidden/>
          </w:rPr>
          <w:fldChar w:fldCharType="separate"/>
        </w:r>
        <w:r w:rsidR="002B61A5">
          <w:rPr>
            <w:webHidden/>
          </w:rPr>
          <w:t>28</w:t>
        </w:r>
        <w:r w:rsidR="004A7139">
          <w:rPr>
            <w:webHidden/>
          </w:rPr>
          <w:fldChar w:fldCharType="end"/>
        </w:r>
      </w:hyperlink>
    </w:p>
    <w:p w14:paraId="0CDCD437" w14:textId="5F01504A" w:rsidR="004A7139" w:rsidRDefault="00D13461">
      <w:pPr>
        <w:pStyle w:val="TOC2"/>
        <w:rPr>
          <w:rFonts w:asciiTheme="minorHAnsi" w:eastAsiaTheme="minorEastAsia" w:hAnsiTheme="minorHAnsi" w:cstheme="minorBidi"/>
          <w:szCs w:val="22"/>
          <w:lang w:eastAsia="en-AU"/>
        </w:rPr>
      </w:pPr>
      <w:hyperlink w:anchor="_Toc41651966" w:history="1">
        <w:r w:rsidR="004A7139" w:rsidRPr="00BF53DD">
          <w:rPr>
            <w:rStyle w:val="Hyperlink"/>
          </w:rPr>
          <w:t>6.3</w:t>
        </w:r>
        <w:r w:rsidR="004A7139">
          <w:rPr>
            <w:rFonts w:asciiTheme="minorHAnsi" w:eastAsiaTheme="minorEastAsia" w:hAnsiTheme="minorHAnsi" w:cstheme="minorBidi"/>
            <w:szCs w:val="22"/>
            <w:lang w:eastAsia="en-AU"/>
          </w:rPr>
          <w:tab/>
        </w:r>
        <w:r w:rsidR="004A7139" w:rsidRPr="00BF53DD">
          <w:rPr>
            <w:rStyle w:val="Hyperlink"/>
          </w:rPr>
          <w:t>Discrimination as a driver of mental health issues</w:t>
        </w:r>
        <w:r w:rsidR="004A7139">
          <w:rPr>
            <w:webHidden/>
          </w:rPr>
          <w:tab/>
        </w:r>
        <w:r w:rsidR="004A7139">
          <w:rPr>
            <w:webHidden/>
          </w:rPr>
          <w:fldChar w:fldCharType="begin"/>
        </w:r>
        <w:r w:rsidR="004A7139">
          <w:rPr>
            <w:webHidden/>
          </w:rPr>
          <w:instrText xml:space="preserve"> PAGEREF _Toc41651966 \h </w:instrText>
        </w:r>
        <w:r w:rsidR="004A7139">
          <w:rPr>
            <w:webHidden/>
          </w:rPr>
        </w:r>
        <w:r w:rsidR="004A7139">
          <w:rPr>
            <w:webHidden/>
          </w:rPr>
          <w:fldChar w:fldCharType="separate"/>
        </w:r>
        <w:r w:rsidR="002B61A5">
          <w:rPr>
            <w:webHidden/>
          </w:rPr>
          <w:t>30</w:t>
        </w:r>
        <w:r w:rsidR="004A7139">
          <w:rPr>
            <w:webHidden/>
          </w:rPr>
          <w:fldChar w:fldCharType="end"/>
        </w:r>
      </w:hyperlink>
    </w:p>
    <w:p w14:paraId="0EC5F48F" w14:textId="40D787C6" w:rsidR="004A7139" w:rsidRDefault="00D13461">
      <w:pPr>
        <w:pStyle w:val="TOC2"/>
        <w:rPr>
          <w:rFonts w:asciiTheme="minorHAnsi" w:eastAsiaTheme="minorEastAsia" w:hAnsiTheme="minorHAnsi" w:cstheme="minorBidi"/>
          <w:szCs w:val="22"/>
          <w:lang w:eastAsia="en-AU"/>
        </w:rPr>
      </w:pPr>
      <w:hyperlink w:anchor="_Toc41651967" w:history="1">
        <w:r w:rsidR="004A7139" w:rsidRPr="00BF53DD">
          <w:rPr>
            <w:rStyle w:val="Hyperlink"/>
          </w:rPr>
          <w:t>6.4</w:t>
        </w:r>
        <w:r w:rsidR="004A7139">
          <w:rPr>
            <w:rFonts w:asciiTheme="minorHAnsi" w:eastAsiaTheme="minorEastAsia" w:hAnsiTheme="minorHAnsi" w:cstheme="minorBidi"/>
            <w:szCs w:val="22"/>
            <w:lang w:eastAsia="en-AU"/>
          </w:rPr>
          <w:tab/>
        </w:r>
        <w:r w:rsidR="004A7139" w:rsidRPr="00BF53DD">
          <w:rPr>
            <w:rStyle w:val="Hyperlink"/>
          </w:rPr>
          <w:t>Preventing sexual harassment as a driver of mental health issues</w:t>
        </w:r>
        <w:r w:rsidR="004A7139">
          <w:rPr>
            <w:webHidden/>
          </w:rPr>
          <w:tab/>
        </w:r>
        <w:r w:rsidR="004A7139">
          <w:rPr>
            <w:webHidden/>
          </w:rPr>
          <w:fldChar w:fldCharType="begin"/>
        </w:r>
        <w:r w:rsidR="004A7139">
          <w:rPr>
            <w:webHidden/>
          </w:rPr>
          <w:instrText xml:space="preserve"> PAGEREF _Toc41651967 \h </w:instrText>
        </w:r>
        <w:r w:rsidR="004A7139">
          <w:rPr>
            <w:webHidden/>
          </w:rPr>
        </w:r>
        <w:r w:rsidR="004A7139">
          <w:rPr>
            <w:webHidden/>
          </w:rPr>
          <w:fldChar w:fldCharType="separate"/>
        </w:r>
        <w:r w:rsidR="002B61A5">
          <w:rPr>
            <w:webHidden/>
          </w:rPr>
          <w:t>31</w:t>
        </w:r>
        <w:r w:rsidR="004A7139">
          <w:rPr>
            <w:webHidden/>
          </w:rPr>
          <w:fldChar w:fldCharType="end"/>
        </w:r>
      </w:hyperlink>
    </w:p>
    <w:p w14:paraId="5B43DCBA" w14:textId="0C9A4C15" w:rsidR="004A7139" w:rsidRDefault="00D13461">
      <w:pPr>
        <w:pStyle w:val="TOC1"/>
        <w:rPr>
          <w:rFonts w:asciiTheme="minorHAnsi" w:eastAsiaTheme="minorEastAsia" w:hAnsiTheme="minorHAnsi" w:cstheme="minorBidi"/>
          <w:b w:val="0"/>
          <w:noProof/>
          <w:szCs w:val="22"/>
          <w:lang w:eastAsia="en-AU"/>
        </w:rPr>
      </w:pPr>
      <w:hyperlink w:anchor="_Toc41651968" w:history="1">
        <w:r w:rsidR="004A7139" w:rsidRPr="00BF53DD">
          <w:rPr>
            <w:rStyle w:val="Hyperlink"/>
            <w:noProof/>
          </w:rPr>
          <w:t>7</w:t>
        </w:r>
        <w:r w:rsidR="004A7139">
          <w:rPr>
            <w:rFonts w:asciiTheme="minorHAnsi" w:eastAsiaTheme="minorEastAsia" w:hAnsiTheme="minorHAnsi" w:cstheme="minorBidi"/>
            <w:b w:val="0"/>
            <w:noProof/>
            <w:szCs w:val="22"/>
            <w:lang w:eastAsia="en-AU"/>
          </w:rPr>
          <w:tab/>
        </w:r>
        <w:r w:rsidR="004A7139" w:rsidRPr="00BF53DD">
          <w:rPr>
            <w:rStyle w:val="Hyperlink"/>
            <w:noProof/>
          </w:rPr>
          <w:t>Children and young people</w:t>
        </w:r>
        <w:r w:rsidR="004A7139">
          <w:rPr>
            <w:noProof/>
            <w:webHidden/>
          </w:rPr>
          <w:tab/>
        </w:r>
        <w:r w:rsidR="004A7139">
          <w:rPr>
            <w:noProof/>
            <w:webHidden/>
          </w:rPr>
          <w:fldChar w:fldCharType="begin"/>
        </w:r>
        <w:r w:rsidR="004A7139">
          <w:rPr>
            <w:noProof/>
            <w:webHidden/>
          </w:rPr>
          <w:instrText xml:space="preserve"> PAGEREF _Toc41651968 \h </w:instrText>
        </w:r>
        <w:r w:rsidR="004A7139">
          <w:rPr>
            <w:noProof/>
            <w:webHidden/>
          </w:rPr>
        </w:r>
        <w:r w:rsidR="004A7139">
          <w:rPr>
            <w:noProof/>
            <w:webHidden/>
          </w:rPr>
          <w:fldChar w:fldCharType="separate"/>
        </w:r>
        <w:r w:rsidR="002B61A5">
          <w:rPr>
            <w:noProof/>
            <w:webHidden/>
          </w:rPr>
          <w:t>32</w:t>
        </w:r>
        <w:r w:rsidR="004A7139">
          <w:rPr>
            <w:noProof/>
            <w:webHidden/>
          </w:rPr>
          <w:fldChar w:fldCharType="end"/>
        </w:r>
      </w:hyperlink>
    </w:p>
    <w:p w14:paraId="5577B00C" w14:textId="4FC2C207" w:rsidR="004A7139" w:rsidRDefault="00D13461">
      <w:pPr>
        <w:pStyle w:val="TOC2"/>
        <w:rPr>
          <w:rFonts w:asciiTheme="minorHAnsi" w:eastAsiaTheme="minorEastAsia" w:hAnsiTheme="minorHAnsi" w:cstheme="minorBidi"/>
          <w:szCs w:val="22"/>
          <w:lang w:eastAsia="en-AU"/>
        </w:rPr>
      </w:pPr>
      <w:hyperlink w:anchor="_Toc41651969" w:history="1">
        <w:r w:rsidR="004A7139" w:rsidRPr="00BF53DD">
          <w:rPr>
            <w:rStyle w:val="Hyperlink"/>
          </w:rPr>
          <w:t>7.1</w:t>
        </w:r>
        <w:r w:rsidR="004A7139">
          <w:rPr>
            <w:rFonts w:asciiTheme="minorHAnsi" w:eastAsiaTheme="minorEastAsia" w:hAnsiTheme="minorHAnsi" w:cstheme="minorBidi"/>
            <w:szCs w:val="22"/>
            <w:lang w:eastAsia="en-AU"/>
          </w:rPr>
          <w:tab/>
        </w:r>
        <w:r w:rsidR="004A7139" w:rsidRPr="00BF53DD">
          <w:rPr>
            <w:rStyle w:val="Hyperlink"/>
          </w:rPr>
          <w:t>Access to tailored services</w:t>
        </w:r>
        <w:r w:rsidR="004A7139">
          <w:rPr>
            <w:webHidden/>
          </w:rPr>
          <w:tab/>
        </w:r>
        <w:r w:rsidR="004A7139">
          <w:rPr>
            <w:webHidden/>
          </w:rPr>
          <w:fldChar w:fldCharType="begin"/>
        </w:r>
        <w:r w:rsidR="004A7139">
          <w:rPr>
            <w:webHidden/>
          </w:rPr>
          <w:instrText xml:space="preserve"> PAGEREF _Toc41651969 \h </w:instrText>
        </w:r>
        <w:r w:rsidR="004A7139">
          <w:rPr>
            <w:webHidden/>
          </w:rPr>
        </w:r>
        <w:r w:rsidR="004A7139">
          <w:rPr>
            <w:webHidden/>
          </w:rPr>
          <w:fldChar w:fldCharType="separate"/>
        </w:r>
        <w:r w:rsidR="002B61A5">
          <w:rPr>
            <w:webHidden/>
          </w:rPr>
          <w:t>32</w:t>
        </w:r>
        <w:r w:rsidR="004A7139">
          <w:rPr>
            <w:webHidden/>
          </w:rPr>
          <w:fldChar w:fldCharType="end"/>
        </w:r>
      </w:hyperlink>
    </w:p>
    <w:p w14:paraId="6BA9AC73" w14:textId="287B89BD" w:rsidR="004A7139" w:rsidRDefault="00D13461">
      <w:pPr>
        <w:pStyle w:val="TOC2"/>
        <w:rPr>
          <w:rFonts w:asciiTheme="minorHAnsi" w:eastAsiaTheme="minorEastAsia" w:hAnsiTheme="minorHAnsi" w:cstheme="minorBidi"/>
          <w:szCs w:val="22"/>
          <w:lang w:eastAsia="en-AU"/>
        </w:rPr>
      </w:pPr>
      <w:hyperlink w:anchor="_Toc41651970" w:history="1">
        <w:r w:rsidR="004A7139" w:rsidRPr="00BF53DD">
          <w:rPr>
            <w:rStyle w:val="Hyperlink"/>
          </w:rPr>
          <w:t>7.2</w:t>
        </w:r>
        <w:r w:rsidR="004A7139">
          <w:rPr>
            <w:rFonts w:asciiTheme="minorHAnsi" w:eastAsiaTheme="minorEastAsia" w:hAnsiTheme="minorHAnsi" w:cstheme="minorBidi"/>
            <w:szCs w:val="22"/>
            <w:lang w:eastAsia="en-AU"/>
          </w:rPr>
          <w:tab/>
        </w:r>
        <w:r w:rsidR="004A7139" w:rsidRPr="00BF53DD">
          <w:rPr>
            <w:rStyle w:val="Hyperlink"/>
          </w:rPr>
          <w:t>Specialised supports in child protection and out of home care</w:t>
        </w:r>
        <w:r w:rsidR="004A7139">
          <w:rPr>
            <w:webHidden/>
          </w:rPr>
          <w:tab/>
        </w:r>
        <w:r w:rsidR="004A7139">
          <w:rPr>
            <w:webHidden/>
          </w:rPr>
          <w:fldChar w:fldCharType="begin"/>
        </w:r>
        <w:r w:rsidR="004A7139">
          <w:rPr>
            <w:webHidden/>
          </w:rPr>
          <w:instrText xml:space="preserve"> PAGEREF _Toc41651970 \h </w:instrText>
        </w:r>
        <w:r w:rsidR="004A7139">
          <w:rPr>
            <w:webHidden/>
          </w:rPr>
        </w:r>
        <w:r w:rsidR="004A7139">
          <w:rPr>
            <w:webHidden/>
          </w:rPr>
          <w:fldChar w:fldCharType="separate"/>
        </w:r>
        <w:r w:rsidR="002B61A5">
          <w:rPr>
            <w:webHidden/>
          </w:rPr>
          <w:t>33</w:t>
        </w:r>
        <w:r w:rsidR="004A7139">
          <w:rPr>
            <w:webHidden/>
          </w:rPr>
          <w:fldChar w:fldCharType="end"/>
        </w:r>
      </w:hyperlink>
    </w:p>
    <w:p w14:paraId="6749ADCA" w14:textId="4684B26B" w:rsidR="004A7139" w:rsidRDefault="00D13461">
      <w:pPr>
        <w:pStyle w:val="TOC2"/>
        <w:rPr>
          <w:rFonts w:asciiTheme="minorHAnsi" w:eastAsiaTheme="minorEastAsia" w:hAnsiTheme="minorHAnsi" w:cstheme="minorBidi"/>
          <w:szCs w:val="22"/>
          <w:lang w:eastAsia="en-AU"/>
        </w:rPr>
      </w:pPr>
      <w:hyperlink w:anchor="_Toc41651971" w:history="1">
        <w:r w:rsidR="004A7139" w:rsidRPr="00BF53DD">
          <w:rPr>
            <w:rStyle w:val="Hyperlink"/>
          </w:rPr>
          <w:t>7.3</w:t>
        </w:r>
        <w:r w:rsidR="004A7139">
          <w:rPr>
            <w:rFonts w:asciiTheme="minorHAnsi" w:eastAsiaTheme="minorEastAsia" w:hAnsiTheme="minorHAnsi" w:cstheme="minorBidi"/>
            <w:szCs w:val="22"/>
            <w:lang w:eastAsia="en-AU"/>
          </w:rPr>
          <w:tab/>
        </w:r>
        <w:r w:rsidR="004A7139" w:rsidRPr="00BF53DD">
          <w:rPr>
            <w:rStyle w:val="Hyperlink"/>
          </w:rPr>
          <w:t>Prevent the use of Family Violence Intervention orders as a response to children experiencing a mental health crisis</w:t>
        </w:r>
        <w:r w:rsidR="004A7139">
          <w:rPr>
            <w:webHidden/>
          </w:rPr>
          <w:tab/>
        </w:r>
        <w:r w:rsidR="004A7139">
          <w:rPr>
            <w:webHidden/>
          </w:rPr>
          <w:fldChar w:fldCharType="begin"/>
        </w:r>
        <w:r w:rsidR="004A7139">
          <w:rPr>
            <w:webHidden/>
          </w:rPr>
          <w:instrText xml:space="preserve"> PAGEREF _Toc41651971 \h </w:instrText>
        </w:r>
        <w:r w:rsidR="004A7139">
          <w:rPr>
            <w:webHidden/>
          </w:rPr>
        </w:r>
        <w:r w:rsidR="004A7139">
          <w:rPr>
            <w:webHidden/>
          </w:rPr>
          <w:fldChar w:fldCharType="separate"/>
        </w:r>
        <w:r w:rsidR="002B61A5">
          <w:rPr>
            <w:webHidden/>
          </w:rPr>
          <w:t>34</w:t>
        </w:r>
        <w:r w:rsidR="004A7139">
          <w:rPr>
            <w:webHidden/>
          </w:rPr>
          <w:fldChar w:fldCharType="end"/>
        </w:r>
      </w:hyperlink>
    </w:p>
    <w:p w14:paraId="109CFB86" w14:textId="615EB8B4" w:rsidR="004A7139" w:rsidRDefault="00D13461">
      <w:pPr>
        <w:pStyle w:val="TOC2"/>
        <w:rPr>
          <w:rFonts w:asciiTheme="minorHAnsi" w:eastAsiaTheme="minorEastAsia" w:hAnsiTheme="minorHAnsi" w:cstheme="minorBidi"/>
          <w:szCs w:val="22"/>
          <w:lang w:eastAsia="en-AU"/>
        </w:rPr>
      </w:pPr>
      <w:hyperlink w:anchor="_Toc41651972" w:history="1">
        <w:r w:rsidR="004A7139" w:rsidRPr="00BF53DD">
          <w:rPr>
            <w:rStyle w:val="Hyperlink"/>
          </w:rPr>
          <w:t>7.4</w:t>
        </w:r>
        <w:r w:rsidR="004A7139">
          <w:rPr>
            <w:rFonts w:asciiTheme="minorHAnsi" w:eastAsiaTheme="minorEastAsia" w:hAnsiTheme="minorHAnsi" w:cstheme="minorBidi"/>
            <w:szCs w:val="22"/>
            <w:lang w:eastAsia="en-AU"/>
          </w:rPr>
          <w:tab/>
        </w:r>
        <w:r w:rsidR="004A7139" w:rsidRPr="00BF53DD">
          <w:rPr>
            <w:rStyle w:val="Hyperlink"/>
          </w:rPr>
          <w:t>Age appropriate responses to reduce entry and entrenchment in the criminal system</w:t>
        </w:r>
        <w:r w:rsidR="004A7139">
          <w:rPr>
            <w:webHidden/>
          </w:rPr>
          <w:tab/>
        </w:r>
        <w:r w:rsidR="004A7139">
          <w:rPr>
            <w:webHidden/>
          </w:rPr>
          <w:fldChar w:fldCharType="begin"/>
        </w:r>
        <w:r w:rsidR="004A7139">
          <w:rPr>
            <w:webHidden/>
          </w:rPr>
          <w:instrText xml:space="preserve"> PAGEREF _Toc41651972 \h </w:instrText>
        </w:r>
        <w:r w:rsidR="004A7139">
          <w:rPr>
            <w:webHidden/>
          </w:rPr>
        </w:r>
        <w:r w:rsidR="004A7139">
          <w:rPr>
            <w:webHidden/>
          </w:rPr>
          <w:fldChar w:fldCharType="separate"/>
        </w:r>
        <w:r w:rsidR="002B61A5">
          <w:rPr>
            <w:webHidden/>
          </w:rPr>
          <w:t>34</w:t>
        </w:r>
        <w:r w:rsidR="004A7139">
          <w:rPr>
            <w:webHidden/>
          </w:rPr>
          <w:fldChar w:fldCharType="end"/>
        </w:r>
      </w:hyperlink>
    </w:p>
    <w:p w14:paraId="7169EEB0" w14:textId="0B7D4374" w:rsidR="004A7139" w:rsidRDefault="00D13461">
      <w:pPr>
        <w:pStyle w:val="TOC1"/>
        <w:rPr>
          <w:rFonts w:asciiTheme="minorHAnsi" w:eastAsiaTheme="minorEastAsia" w:hAnsiTheme="minorHAnsi" w:cstheme="minorBidi"/>
          <w:b w:val="0"/>
          <w:noProof/>
          <w:szCs w:val="22"/>
          <w:lang w:eastAsia="en-AU"/>
        </w:rPr>
      </w:pPr>
      <w:hyperlink w:anchor="_Toc41651973" w:history="1">
        <w:r w:rsidR="004A7139" w:rsidRPr="00BF53DD">
          <w:rPr>
            <w:rStyle w:val="Hyperlink"/>
            <w:noProof/>
          </w:rPr>
          <w:t>8</w:t>
        </w:r>
        <w:r w:rsidR="004A7139">
          <w:rPr>
            <w:rFonts w:asciiTheme="minorHAnsi" w:eastAsiaTheme="minorEastAsia" w:hAnsiTheme="minorHAnsi" w:cstheme="minorBidi"/>
            <w:b w:val="0"/>
            <w:noProof/>
            <w:szCs w:val="22"/>
            <w:lang w:eastAsia="en-AU"/>
          </w:rPr>
          <w:tab/>
        </w:r>
        <w:r w:rsidR="004A7139" w:rsidRPr="00BF53DD">
          <w:rPr>
            <w:rStyle w:val="Hyperlink"/>
            <w:noProof/>
          </w:rPr>
          <w:t>Criminal justice</w:t>
        </w:r>
        <w:r w:rsidR="004A7139">
          <w:rPr>
            <w:noProof/>
            <w:webHidden/>
          </w:rPr>
          <w:tab/>
        </w:r>
        <w:r w:rsidR="004A7139">
          <w:rPr>
            <w:noProof/>
            <w:webHidden/>
          </w:rPr>
          <w:fldChar w:fldCharType="begin"/>
        </w:r>
        <w:r w:rsidR="004A7139">
          <w:rPr>
            <w:noProof/>
            <w:webHidden/>
          </w:rPr>
          <w:instrText xml:space="preserve"> PAGEREF _Toc41651973 \h </w:instrText>
        </w:r>
        <w:r w:rsidR="004A7139">
          <w:rPr>
            <w:noProof/>
            <w:webHidden/>
          </w:rPr>
        </w:r>
        <w:r w:rsidR="004A7139">
          <w:rPr>
            <w:noProof/>
            <w:webHidden/>
          </w:rPr>
          <w:fldChar w:fldCharType="separate"/>
        </w:r>
        <w:r w:rsidR="002B61A5">
          <w:rPr>
            <w:noProof/>
            <w:webHidden/>
          </w:rPr>
          <w:t>36</w:t>
        </w:r>
        <w:r w:rsidR="004A7139">
          <w:rPr>
            <w:noProof/>
            <w:webHidden/>
          </w:rPr>
          <w:fldChar w:fldCharType="end"/>
        </w:r>
      </w:hyperlink>
    </w:p>
    <w:p w14:paraId="07F6B9D2" w14:textId="69B2F30D" w:rsidR="004A7139" w:rsidRDefault="00D13461">
      <w:pPr>
        <w:pStyle w:val="TOC2"/>
        <w:rPr>
          <w:rFonts w:asciiTheme="minorHAnsi" w:eastAsiaTheme="minorEastAsia" w:hAnsiTheme="minorHAnsi" w:cstheme="minorBidi"/>
          <w:szCs w:val="22"/>
          <w:lang w:eastAsia="en-AU"/>
        </w:rPr>
      </w:pPr>
      <w:hyperlink w:anchor="_Toc41651974" w:history="1">
        <w:r w:rsidR="004A7139" w:rsidRPr="00BF53DD">
          <w:rPr>
            <w:rStyle w:val="Hyperlink"/>
          </w:rPr>
          <w:t>8.1</w:t>
        </w:r>
        <w:r w:rsidR="004A7139">
          <w:rPr>
            <w:rFonts w:asciiTheme="minorHAnsi" w:eastAsiaTheme="minorEastAsia" w:hAnsiTheme="minorHAnsi" w:cstheme="minorBidi"/>
            <w:szCs w:val="22"/>
            <w:lang w:eastAsia="en-AU"/>
          </w:rPr>
          <w:tab/>
        </w:r>
        <w:r w:rsidR="004A7139" w:rsidRPr="00BF53DD">
          <w:rPr>
            <w:rStyle w:val="Hyperlink"/>
          </w:rPr>
          <w:t>Community based responses to mental health issues</w:t>
        </w:r>
        <w:r w:rsidR="004A7139">
          <w:rPr>
            <w:webHidden/>
          </w:rPr>
          <w:tab/>
        </w:r>
        <w:r w:rsidR="004A7139">
          <w:rPr>
            <w:webHidden/>
          </w:rPr>
          <w:fldChar w:fldCharType="begin"/>
        </w:r>
        <w:r w:rsidR="004A7139">
          <w:rPr>
            <w:webHidden/>
          </w:rPr>
          <w:instrText xml:space="preserve"> PAGEREF _Toc41651974 \h </w:instrText>
        </w:r>
        <w:r w:rsidR="004A7139">
          <w:rPr>
            <w:webHidden/>
          </w:rPr>
        </w:r>
        <w:r w:rsidR="004A7139">
          <w:rPr>
            <w:webHidden/>
          </w:rPr>
          <w:fldChar w:fldCharType="separate"/>
        </w:r>
        <w:r w:rsidR="002B61A5">
          <w:rPr>
            <w:webHidden/>
          </w:rPr>
          <w:t>37</w:t>
        </w:r>
        <w:r w:rsidR="004A7139">
          <w:rPr>
            <w:webHidden/>
          </w:rPr>
          <w:fldChar w:fldCharType="end"/>
        </w:r>
      </w:hyperlink>
    </w:p>
    <w:p w14:paraId="1F4365B6" w14:textId="0B953743" w:rsidR="004A7139" w:rsidRDefault="00D13461">
      <w:pPr>
        <w:pStyle w:val="TOC2"/>
        <w:rPr>
          <w:rFonts w:asciiTheme="minorHAnsi" w:eastAsiaTheme="minorEastAsia" w:hAnsiTheme="minorHAnsi" w:cstheme="minorBidi"/>
          <w:szCs w:val="22"/>
          <w:lang w:eastAsia="en-AU"/>
        </w:rPr>
      </w:pPr>
      <w:hyperlink w:anchor="_Toc41651975" w:history="1">
        <w:r w:rsidR="004A7139" w:rsidRPr="00BF53DD">
          <w:rPr>
            <w:rStyle w:val="Hyperlink"/>
          </w:rPr>
          <w:t>8.2</w:t>
        </w:r>
        <w:r w:rsidR="004A7139">
          <w:rPr>
            <w:rFonts w:asciiTheme="minorHAnsi" w:eastAsiaTheme="minorEastAsia" w:hAnsiTheme="minorHAnsi" w:cstheme="minorBidi"/>
            <w:szCs w:val="22"/>
            <w:lang w:eastAsia="en-AU"/>
          </w:rPr>
          <w:tab/>
        </w:r>
        <w:r w:rsidR="004A7139" w:rsidRPr="00BF53DD">
          <w:rPr>
            <w:rStyle w:val="Hyperlink"/>
          </w:rPr>
          <w:t>Police discretion, caution and diversion</w:t>
        </w:r>
        <w:r w:rsidR="004A7139">
          <w:rPr>
            <w:webHidden/>
          </w:rPr>
          <w:tab/>
        </w:r>
        <w:r w:rsidR="004A7139">
          <w:rPr>
            <w:webHidden/>
          </w:rPr>
          <w:fldChar w:fldCharType="begin"/>
        </w:r>
        <w:r w:rsidR="004A7139">
          <w:rPr>
            <w:webHidden/>
          </w:rPr>
          <w:instrText xml:space="preserve"> PAGEREF _Toc41651975 \h </w:instrText>
        </w:r>
        <w:r w:rsidR="004A7139">
          <w:rPr>
            <w:webHidden/>
          </w:rPr>
        </w:r>
        <w:r w:rsidR="004A7139">
          <w:rPr>
            <w:webHidden/>
          </w:rPr>
          <w:fldChar w:fldCharType="separate"/>
        </w:r>
        <w:r w:rsidR="002B61A5">
          <w:rPr>
            <w:webHidden/>
          </w:rPr>
          <w:t>40</w:t>
        </w:r>
        <w:r w:rsidR="004A7139">
          <w:rPr>
            <w:webHidden/>
          </w:rPr>
          <w:fldChar w:fldCharType="end"/>
        </w:r>
      </w:hyperlink>
    </w:p>
    <w:p w14:paraId="77A1C856" w14:textId="1CE9BF7B" w:rsidR="004A7139" w:rsidRDefault="00D13461">
      <w:pPr>
        <w:pStyle w:val="TOC2"/>
        <w:rPr>
          <w:rFonts w:asciiTheme="minorHAnsi" w:eastAsiaTheme="minorEastAsia" w:hAnsiTheme="minorHAnsi" w:cstheme="minorBidi"/>
          <w:szCs w:val="22"/>
          <w:lang w:eastAsia="en-AU"/>
        </w:rPr>
      </w:pPr>
      <w:hyperlink w:anchor="_Toc41651976" w:history="1">
        <w:r w:rsidR="004A7139" w:rsidRPr="00BF53DD">
          <w:rPr>
            <w:rStyle w:val="Hyperlink"/>
          </w:rPr>
          <w:t>8.3</w:t>
        </w:r>
        <w:r w:rsidR="004A7139">
          <w:rPr>
            <w:rFonts w:asciiTheme="minorHAnsi" w:eastAsiaTheme="minorEastAsia" w:hAnsiTheme="minorHAnsi" w:cstheme="minorBidi"/>
            <w:szCs w:val="22"/>
            <w:lang w:eastAsia="en-AU"/>
          </w:rPr>
          <w:tab/>
        </w:r>
        <w:r w:rsidR="004A7139" w:rsidRPr="00BF53DD">
          <w:rPr>
            <w:rStyle w:val="Hyperlink"/>
          </w:rPr>
          <w:t>A therapeutic and prevention-focused criminal justice system</w:t>
        </w:r>
        <w:r w:rsidR="004A7139">
          <w:rPr>
            <w:webHidden/>
          </w:rPr>
          <w:tab/>
        </w:r>
        <w:r w:rsidR="004A7139">
          <w:rPr>
            <w:webHidden/>
          </w:rPr>
          <w:fldChar w:fldCharType="begin"/>
        </w:r>
        <w:r w:rsidR="004A7139">
          <w:rPr>
            <w:webHidden/>
          </w:rPr>
          <w:instrText xml:space="preserve"> PAGEREF _Toc41651976 \h </w:instrText>
        </w:r>
        <w:r w:rsidR="004A7139">
          <w:rPr>
            <w:webHidden/>
          </w:rPr>
        </w:r>
        <w:r w:rsidR="004A7139">
          <w:rPr>
            <w:webHidden/>
          </w:rPr>
          <w:fldChar w:fldCharType="separate"/>
        </w:r>
        <w:r w:rsidR="002B61A5">
          <w:rPr>
            <w:webHidden/>
          </w:rPr>
          <w:t>44</w:t>
        </w:r>
        <w:r w:rsidR="004A7139">
          <w:rPr>
            <w:webHidden/>
          </w:rPr>
          <w:fldChar w:fldCharType="end"/>
        </w:r>
      </w:hyperlink>
    </w:p>
    <w:p w14:paraId="148F878D" w14:textId="5C2EB999" w:rsidR="004A7139" w:rsidRDefault="00D13461">
      <w:pPr>
        <w:pStyle w:val="TOC2"/>
        <w:rPr>
          <w:rFonts w:asciiTheme="minorHAnsi" w:eastAsiaTheme="minorEastAsia" w:hAnsiTheme="minorHAnsi" w:cstheme="minorBidi"/>
          <w:szCs w:val="22"/>
          <w:lang w:eastAsia="en-AU"/>
        </w:rPr>
      </w:pPr>
      <w:hyperlink w:anchor="_Toc41651977" w:history="1">
        <w:r w:rsidR="004A7139" w:rsidRPr="00BF53DD">
          <w:rPr>
            <w:rStyle w:val="Hyperlink"/>
          </w:rPr>
          <w:t>8.4</w:t>
        </w:r>
        <w:r w:rsidR="004A7139">
          <w:rPr>
            <w:rFonts w:asciiTheme="minorHAnsi" w:eastAsiaTheme="minorEastAsia" w:hAnsiTheme="minorHAnsi" w:cstheme="minorBidi"/>
            <w:szCs w:val="22"/>
            <w:lang w:eastAsia="en-AU"/>
          </w:rPr>
          <w:tab/>
        </w:r>
        <w:r w:rsidR="004A7139" w:rsidRPr="00BF53DD">
          <w:rPr>
            <w:rStyle w:val="Hyperlink"/>
          </w:rPr>
          <w:t>Therapeutic support while serving a sentence</w:t>
        </w:r>
        <w:r w:rsidR="004A7139">
          <w:rPr>
            <w:webHidden/>
          </w:rPr>
          <w:tab/>
        </w:r>
        <w:r w:rsidR="004A7139">
          <w:rPr>
            <w:webHidden/>
          </w:rPr>
          <w:fldChar w:fldCharType="begin"/>
        </w:r>
        <w:r w:rsidR="004A7139">
          <w:rPr>
            <w:webHidden/>
          </w:rPr>
          <w:instrText xml:space="preserve"> PAGEREF _Toc41651977 \h </w:instrText>
        </w:r>
        <w:r w:rsidR="004A7139">
          <w:rPr>
            <w:webHidden/>
          </w:rPr>
        </w:r>
        <w:r w:rsidR="004A7139">
          <w:rPr>
            <w:webHidden/>
          </w:rPr>
          <w:fldChar w:fldCharType="separate"/>
        </w:r>
        <w:r w:rsidR="002B61A5">
          <w:rPr>
            <w:webHidden/>
          </w:rPr>
          <w:t>51</w:t>
        </w:r>
        <w:r w:rsidR="004A7139">
          <w:rPr>
            <w:webHidden/>
          </w:rPr>
          <w:fldChar w:fldCharType="end"/>
        </w:r>
      </w:hyperlink>
    </w:p>
    <w:p w14:paraId="614FECE2" w14:textId="2F23B34D" w:rsidR="004A7139" w:rsidRDefault="00D13461">
      <w:pPr>
        <w:pStyle w:val="TOC2"/>
        <w:rPr>
          <w:rFonts w:asciiTheme="minorHAnsi" w:eastAsiaTheme="minorEastAsia" w:hAnsiTheme="minorHAnsi" w:cstheme="minorBidi"/>
          <w:szCs w:val="22"/>
          <w:lang w:eastAsia="en-AU"/>
        </w:rPr>
      </w:pPr>
      <w:hyperlink w:anchor="_Toc41651978" w:history="1">
        <w:r w:rsidR="004A7139" w:rsidRPr="00BF53DD">
          <w:rPr>
            <w:rStyle w:val="Hyperlink"/>
          </w:rPr>
          <w:t>8.5</w:t>
        </w:r>
        <w:r w:rsidR="004A7139">
          <w:rPr>
            <w:rFonts w:asciiTheme="minorHAnsi" w:eastAsiaTheme="minorEastAsia" w:hAnsiTheme="minorHAnsi" w:cstheme="minorBidi"/>
            <w:szCs w:val="22"/>
            <w:lang w:eastAsia="en-AU"/>
          </w:rPr>
          <w:tab/>
        </w:r>
        <w:r w:rsidR="004A7139" w:rsidRPr="00BF53DD">
          <w:rPr>
            <w:rStyle w:val="Hyperlink"/>
          </w:rPr>
          <w:t>Transition planning and therapeutic supports to exit the criminal system</w:t>
        </w:r>
        <w:r w:rsidR="004A7139">
          <w:rPr>
            <w:webHidden/>
          </w:rPr>
          <w:tab/>
        </w:r>
        <w:r w:rsidR="004A7139">
          <w:rPr>
            <w:webHidden/>
          </w:rPr>
          <w:fldChar w:fldCharType="begin"/>
        </w:r>
        <w:r w:rsidR="004A7139">
          <w:rPr>
            <w:webHidden/>
          </w:rPr>
          <w:instrText xml:space="preserve"> PAGEREF _Toc41651978 \h </w:instrText>
        </w:r>
        <w:r w:rsidR="004A7139">
          <w:rPr>
            <w:webHidden/>
          </w:rPr>
        </w:r>
        <w:r w:rsidR="004A7139">
          <w:rPr>
            <w:webHidden/>
          </w:rPr>
          <w:fldChar w:fldCharType="separate"/>
        </w:r>
        <w:r w:rsidR="002B61A5">
          <w:rPr>
            <w:webHidden/>
          </w:rPr>
          <w:t>53</w:t>
        </w:r>
        <w:r w:rsidR="004A7139">
          <w:rPr>
            <w:webHidden/>
          </w:rPr>
          <w:fldChar w:fldCharType="end"/>
        </w:r>
      </w:hyperlink>
    </w:p>
    <w:p w14:paraId="523F90F0" w14:textId="7B4A91DB" w:rsidR="004A7139" w:rsidRDefault="00D13461">
      <w:pPr>
        <w:pStyle w:val="TOC1"/>
        <w:rPr>
          <w:rFonts w:asciiTheme="minorHAnsi" w:eastAsiaTheme="minorEastAsia" w:hAnsiTheme="minorHAnsi" w:cstheme="minorBidi"/>
          <w:b w:val="0"/>
          <w:noProof/>
          <w:szCs w:val="22"/>
          <w:lang w:eastAsia="en-AU"/>
        </w:rPr>
      </w:pPr>
      <w:hyperlink w:anchor="_Toc41651979" w:history="1">
        <w:r w:rsidR="004A7139" w:rsidRPr="00BF53DD">
          <w:rPr>
            <w:rStyle w:val="Hyperlink"/>
            <w:noProof/>
          </w:rPr>
          <w:t>Appendix A: Notes on language</w:t>
        </w:r>
        <w:r w:rsidR="004A7139">
          <w:rPr>
            <w:noProof/>
            <w:webHidden/>
          </w:rPr>
          <w:tab/>
        </w:r>
        <w:r w:rsidR="004A7139">
          <w:rPr>
            <w:noProof/>
            <w:webHidden/>
          </w:rPr>
          <w:fldChar w:fldCharType="begin"/>
        </w:r>
        <w:r w:rsidR="004A7139">
          <w:rPr>
            <w:noProof/>
            <w:webHidden/>
          </w:rPr>
          <w:instrText xml:space="preserve"> PAGEREF _Toc41651979 \h </w:instrText>
        </w:r>
        <w:r w:rsidR="004A7139">
          <w:rPr>
            <w:noProof/>
            <w:webHidden/>
          </w:rPr>
        </w:r>
        <w:r w:rsidR="004A7139">
          <w:rPr>
            <w:noProof/>
            <w:webHidden/>
          </w:rPr>
          <w:fldChar w:fldCharType="separate"/>
        </w:r>
        <w:r w:rsidR="002B61A5">
          <w:rPr>
            <w:noProof/>
            <w:webHidden/>
          </w:rPr>
          <w:t>55</w:t>
        </w:r>
        <w:r w:rsidR="004A7139">
          <w:rPr>
            <w:noProof/>
            <w:webHidden/>
          </w:rPr>
          <w:fldChar w:fldCharType="end"/>
        </w:r>
      </w:hyperlink>
    </w:p>
    <w:p w14:paraId="6BA8242C" w14:textId="4E4EB48A" w:rsidR="004A7139" w:rsidRDefault="00D13461">
      <w:pPr>
        <w:pStyle w:val="TOC1"/>
        <w:rPr>
          <w:rFonts w:asciiTheme="minorHAnsi" w:eastAsiaTheme="minorEastAsia" w:hAnsiTheme="minorHAnsi" w:cstheme="minorBidi"/>
          <w:b w:val="0"/>
          <w:noProof/>
          <w:szCs w:val="22"/>
          <w:lang w:eastAsia="en-AU"/>
        </w:rPr>
      </w:pPr>
      <w:hyperlink w:anchor="_Toc41651980" w:history="1">
        <w:r w:rsidR="004A7139" w:rsidRPr="00BF53DD">
          <w:rPr>
            <w:rStyle w:val="Hyperlink"/>
            <w:noProof/>
          </w:rPr>
          <w:t>Appendix B: List of recommendations</w:t>
        </w:r>
        <w:r w:rsidR="004A7139">
          <w:rPr>
            <w:noProof/>
            <w:webHidden/>
          </w:rPr>
          <w:tab/>
        </w:r>
        <w:r w:rsidR="004A7139">
          <w:rPr>
            <w:noProof/>
            <w:webHidden/>
          </w:rPr>
          <w:fldChar w:fldCharType="begin"/>
        </w:r>
        <w:r w:rsidR="004A7139">
          <w:rPr>
            <w:noProof/>
            <w:webHidden/>
          </w:rPr>
          <w:instrText xml:space="preserve"> PAGEREF _Toc41651980 \h </w:instrText>
        </w:r>
        <w:r w:rsidR="004A7139">
          <w:rPr>
            <w:noProof/>
            <w:webHidden/>
          </w:rPr>
        </w:r>
        <w:r w:rsidR="004A7139">
          <w:rPr>
            <w:noProof/>
            <w:webHidden/>
          </w:rPr>
          <w:fldChar w:fldCharType="separate"/>
        </w:r>
        <w:r w:rsidR="002B61A5">
          <w:rPr>
            <w:noProof/>
            <w:webHidden/>
          </w:rPr>
          <w:t>56</w:t>
        </w:r>
        <w:r w:rsidR="004A7139">
          <w:rPr>
            <w:noProof/>
            <w:webHidden/>
          </w:rPr>
          <w:fldChar w:fldCharType="end"/>
        </w:r>
      </w:hyperlink>
    </w:p>
    <w:p w14:paraId="32A32A25" w14:textId="61101824" w:rsidR="008C554E" w:rsidRPr="00BD5E4A" w:rsidRDefault="00532449" w:rsidP="004A21A7">
      <w:pPr>
        <w:spacing w:before="120" w:after="0"/>
        <w:rPr>
          <w:sz w:val="20"/>
          <w:szCs w:val="20"/>
        </w:rPr>
      </w:pPr>
      <w:r>
        <w:rPr>
          <w:lang w:eastAsia="en-AU"/>
        </w:rPr>
        <w:fldChar w:fldCharType="end"/>
      </w:r>
      <w:r w:rsidR="008C554E" w:rsidRPr="00BD5E4A">
        <w:rPr>
          <w:color w:val="216E96"/>
          <w:sz w:val="20"/>
          <w:szCs w:val="20"/>
        </w:rPr>
        <w:t xml:space="preserve">© 2020 Victoria Legal Aid. </w:t>
      </w:r>
      <w:r w:rsidR="008C554E" w:rsidRPr="00BD5E4A">
        <w:rPr>
          <w:sz w:val="20"/>
          <w:szCs w:val="20"/>
        </w:rPr>
        <w:t>Reproduction without express written permission is prohibited.</w:t>
      </w:r>
    </w:p>
    <w:p w14:paraId="38949765" w14:textId="77777777" w:rsidR="008C554E" w:rsidRPr="00847CDC" w:rsidRDefault="008C554E" w:rsidP="00CB35BB">
      <w:pPr>
        <w:pStyle w:val="Confidentialityclause"/>
        <w:spacing w:after="60"/>
      </w:pPr>
      <w:r w:rsidRPr="00847CDC">
        <w:t>Written requests should be directed to Victoria Legal Aid, Strategic Communications, 570 Bourke St, Melbourne Vic 3000.</w:t>
      </w:r>
    </w:p>
    <w:p w14:paraId="66745B95" w14:textId="5CC6217B" w:rsidR="008C554E" w:rsidRDefault="00D13461" w:rsidP="00BD5E4A">
      <w:pPr>
        <w:pStyle w:val="Confidentialityclause"/>
        <w:spacing w:after="0"/>
        <w:rPr>
          <w:color w:val="216E96"/>
        </w:rPr>
      </w:pPr>
      <w:hyperlink r:id="rId15" w:history="1">
        <w:r w:rsidR="008C554E" w:rsidRPr="00122A41">
          <w:rPr>
            <w:rStyle w:val="Hyperlink"/>
          </w:rPr>
          <w:t>www.legalaid.vic.gov.au</w:t>
        </w:r>
      </w:hyperlink>
    </w:p>
    <w:p w14:paraId="18EA5506" w14:textId="37FF570F" w:rsidR="008C554E" w:rsidRPr="004A21A7" w:rsidRDefault="00C1199A" w:rsidP="00BD5E4A">
      <w:pPr>
        <w:spacing w:after="0"/>
        <w:rPr>
          <w:b/>
          <w:bCs/>
          <w:color w:val="009DBD"/>
          <w:sz w:val="20"/>
          <w:szCs w:val="22"/>
        </w:rPr>
      </w:pPr>
      <w:r w:rsidRPr="004A21A7">
        <w:rPr>
          <w:noProof/>
          <w:color w:val="216E96"/>
          <w:sz w:val="20"/>
          <w:szCs w:val="22"/>
        </w:rPr>
        <w:drawing>
          <wp:anchor distT="0" distB="0" distL="36195" distR="36195" simplePos="0" relativeHeight="251658240" behindDoc="1" locked="0" layoutInCell="1" allowOverlap="1" wp14:anchorId="557ABDAE" wp14:editId="2E27FB9B">
            <wp:simplePos x="0" y="0"/>
            <wp:positionH relativeFrom="column">
              <wp:posOffset>2212975</wp:posOffset>
            </wp:positionH>
            <wp:positionV relativeFrom="paragraph">
              <wp:posOffset>-117475</wp:posOffset>
            </wp:positionV>
            <wp:extent cx="608400" cy="280800"/>
            <wp:effectExtent l="0" t="0" r="1270" b="0"/>
            <wp:wrapTight wrapText="bothSides">
              <wp:wrapPolygon edited="0">
                <wp:start x="0" y="0"/>
                <wp:lineTo x="0" y="20525"/>
                <wp:lineTo x="21194" y="20525"/>
                <wp:lineTo x="21194"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_media_icon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8400" cy="280800"/>
                    </a:xfrm>
                    <a:prstGeom prst="rect">
                      <a:avLst/>
                    </a:prstGeom>
                  </pic:spPr>
                </pic:pic>
              </a:graphicData>
            </a:graphic>
            <wp14:sizeRelH relativeFrom="margin">
              <wp14:pctWidth>0</wp14:pctWidth>
            </wp14:sizeRelH>
            <wp14:sizeRelV relativeFrom="margin">
              <wp14:pctHeight>0</wp14:pctHeight>
            </wp14:sizeRelV>
          </wp:anchor>
        </w:drawing>
      </w:r>
      <w:r w:rsidR="00B36E38" w:rsidRPr="004A21A7">
        <w:rPr>
          <w:b/>
          <w:bCs/>
          <w:color w:val="009DBD"/>
          <w:sz w:val="20"/>
          <w:szCs w:val="22"/>
        </w:rPr>
        <w:t xml:space="preserve">Connect with </w:t>
      </w:r>
      <w:r w:rsidR="008C554E" w:rsidRPr="004A21A7">
        <w:rPr>
          <w:b/>
          <w:bCs/>
          <w:color w:val="009DBD"/>
          <w:sz w:val="20"/>
          <w:szCs w:val="22"/>
        </w:rPr>
        <w:t>Victoria Legal Aid</w:t>
      </w:r>
    </w:p>
    <w:p w14:paraId="6E2E4007" w14:textId="77777777" w:rsidR="00C1199A" w:rsidRPr="00912769" w:rsidRDefault="00C1199A" w:rsidP="006937EE">
      <w:pPr>
        <w:spacing w:before="120" w:after="0"/>
        <w:rPr>
          <w:color w:val="009DBD"/>
        </w:rPr>
      </w:pPr>
      <w:r w:rsidRPr="00912769">
        <w:rPr>
          <w:color w:val="009DBD"/>
        </w:rPr>
        <w:t>Victoria Legal Aid operates on Aboriginal country throughout Victoria; we acknowledge the traditional custodians of the land and respect their continuing connections to land, sea and community.</w:t>
      </w:r>
    </w:p>
    <w:p w14:paraId="6C8EF094" w14:textId="35A3C264" w:rsidR="00C1199A" w:rsidRPr="00A37C6E" w:rsidRDefault="00C1199A" w:rsidP="006515BE">
      <w:pPr>
        <w:spacing w:after="0"/>
        <w:rPr>
          <w:lang w:eastAsia="en-AU"/>
        </w:rPr>
        <w:sectPr w:rsidR="00C1199A" w:rsidRPr="00A37C6E" w:rsidSect="009A7CE4">
          <w:headerReference w:type="even" r:id="rId17"/>
          <w:headerReference w:type="default" r:id="rId18"/>
          <w:footerReference w:type="default" r:id="rId19"/>
          <w:headerReference w:type="first" r:id="rId20"/>
          <w:footerReference w:type="first" r:id="rId21"/>
          <w:pgSz w:w="11906" w:h="16838" w:code="9"/>
          <w:pgMar w:top="851" w:right="1021" w:bottom="851" w:left="1021" w:header="567" w:footer="284" w:gutter="0"/>
          <w:pgNumType w:fmt="lowerRoman" w:start="1"/>
          <w:cols w:space="720"/>
          <w:titlePg/>
          <w:docGrid w:linePitch="299"/>
        </w:sectPr>
      </w:pPr>
    </w:p>
    <w:p w14:paraId="42B05E45" w14:textId="5FC640F9" w:rsidR="007825F3" w:rsidRPr="00983C72" w:rsidRDefault="007825F3" w:rsidP="00413C40">
      <w:pPr>
        <w:pStyle w:val="Title"/>
      </w:pPr>
      <w:bookmarkStart w:id="1" w:name="_Toc41651942"/>
      <w:r w:rsidRPr="00B5390E">
        <w:lastRenderedPageBreak/>
        <w:t xml:space="preserve">Executive </w:t>
      </w:r>
      <w:r w:rsidR="00B6170D" w:rsidRPr="001937CD">
        <w:t>s</w:t>
      </w:r>
      <w:r w:rsidRPr="001937CD">
        <w:t>ummary</w:t>
      </w:r>
      <w:bookmarkEnd w:id="1"/>
    </w:p>
    <w:p w14:paraId="206C987E" w14:textId="209479D4" w:rsidR="00681EA5" w:rsidRDefault="00B6170D" w:rsidP="00CD5660">
      <w:r>
        <w:t>The Royal Commission into Victoria’s Mental Health System</w:t>
      </w:r>
      <w:r w:rsidR="00B3049A">
        <w:t xml:space="preserve"> (</w:t>
      </w:r>
      <w:r w:rsidR="00B3049A" w:rsidRPr="004F7C7B">
        <w:rPr>
          <w:b/>
          <w:bCs/>
        </w:rPr>
        <w:t>Royal Commission</w:t>
      </w:r>
      <w:r w:rsidR="00B3049A">
        <w:t>)</w:t>
      </w:r>
      <w:r>
        <w:t xml:space="preserve"> provides a once-in-a-lifetime opportunity to </w:t>
      </w:r>
      <w:r w:rsidR="00ED226D">
        <w:t xml:space="preserve">build a </w:t>
      </w:r>
      <w:r w:rsidR="000E64A2">
        <w:t xml:space="preserve">coordinated </w:t>
      </w:r>
      <w:r w:rsidR="00ED226D">
        <w:t xml:space="preserve">mental health system with the voices, rights and recovery of people experiencing mental health issues at its centre. </w:t>
      </w:r>
      <w:r w:rsidR="00274172">
        <w:t xml:space="preserve">Our </w:t>
      </w:r>
      <w:r w:rsidR="00274172">
        <w:rPr>
          <w:i/>
          <w:iCs/>
        </w:rPr>
        <w:t xml:space="preserve">Roads to Recovery </w:t>
      </w:r>
      <w:r w:rsidR="00274172">
        <w:t>submission outlined overarching systemic problems and demonstrated the need for urgent systemic change.</w:t>
      </w:r>
      <w:r w:rsidR="00A06CA1">
        <w:rPr>
          <w:rStyle w:val="FootnoteReference"/>
        </w:rPr>
        <w:footnoteReference w:id="2"/>
      </w:r>
      <w:r w:rsidR="00274172">
        <w:t xml:space="preserve"> Here, we provide a roadmap for how to achieve </w:t>
      </w:r>
      <w:r w:rsidR="11C561B4">
        <w:t>that change</w:t>
      </w:r>
      <w:r w:rsidR="62442F0D">
        <w:t xml:space="preserve">. </w:t>
      </w:r>
      <w:r w:rsidR="00681EA5">
        <w:t xml:space="preserve">Last year, </w:t>
      </w:r>
      <w:r w:rsidR="00CD5660">
        <w:t>Victoria Legal Aid (</w:t>
      </w:r>
      <w:r w:rsidR="00CD5660" w:rsidRPr="00B41AE5">
        <w:rPr>
          <w:b/>
          <w:bCs/>
        </w:rPr>
        <w:t>VLA</w:t>
      </w:r>
      <w:r w:rsidR="00CD5660">
        <w:t xml:space="preserve">) </w:t>
      </w:r>
      <w:r w:rsidR="00681EA5">
        <w:t xml:space="preserve">worked with </w:t>
      </w:r>
      <w:r w:rsidR="00AA595C">
        <w:t>over 25,000</w:t>
      </w:r>
      <w:r w:rsidR="00681EA5">
        <w:t xml:space="preserve"> </w:t>
      </w:r>
      <w:r w:rsidR="002A1212">
        <w:t xml:space="preserve">people </w:t>
      </w:r>
      <w:r w:rsidR="00681EA5">
        <w:t xml:space="preserve">who identified as experiencing a mental health issue or disability. From our duty lawyer services to our legal help line to our specialist mental health services, </w:t>
      </w:r>
      <w:r w:rsidR="00D555B3">
        <w:t>VLA</w:t>
      </w:r>
      <w:r w:rsidR="00681EA5">
        <w:t xml:space="preserve"> has a unique perspective of how Victoria’s mental health system </w:t>
      </w:r>
      <w:r w:rsidR="008701D3">
        <w:t>intersects</w:t>
      </w:r>
      <w:r w:rsidR="00681EA5">
        <w:t xml:space="preserve"> with </w:t>
      </w:r>
      <w:r w:rsidR="00570E19">
        <w:t>other</w:t>
      </w:r>
      <w:r w:rsidR="000322D7" w:rsidRPr="000322D7">
        <w:t xml:space="preserve"> systems, supports and services that impact on mental health</w:t>
      </w:r>
      <w:r w:rsidR="00DC6383">
        <w:t xml:space="preserve"> (e.g.</w:t>
      </w:r>
      <w:r w:rsidR="000322D7" w:rsidRPr="000322D7">
        <w:t xml:space="preserve"> housing, disability services, employment, income support, criminal</w:t>
      </w:r>
      <w:r w:rsidR="00681EA5">
        <w:t xml:space="preserve"> justice </w:t>
      </w:r>
      <w:r w:rsidR="00570E19">
        <w:t xml:space="preserve">and </w:t>
      </w:r>
      <w:r w:rsidR="000322D7" w:rsidRPr="000322D7">
        <w:t>family violence</w:t>
      </w:r>
      <w:r w:rsidR="00DC6383">
        <w:t>)</w:t>
      </w:r>
      <w:r w:rsidR="000322D7" w:rsidRPr="000322D7">
        <w:t>.</w:t>
      </w:r>
    </w:p>
    <w:p w14:paraId="6D4CFED6" w14:textId="6452902E" w:rsidR="002F2017" w:rsidRDefault="004D7520" w:rsidP="00CD5660">
      <w:r>
        <w:t xml:space="preserve">People </w:t>
      </w:r>
      <w:r w:rsidR="00D25D10">
        <w:t xml:space="preserve">experiencing </w:t>
      </w:r>
      <w:r w:rsidR="00EC274D">
        <w:t>disadvantage</w:t>
      </w:r>
      <w:r>
        <w:t xml:space="preserve"> should be able to access the mental health supports that </w:t>
      </w:r>
      <w:r w:rsidR="00D92F5D">
        <w:t>work for them</w:t>
      </w:r>
      <w:r>
        <w:t xml:space="preserve">, when they need them, before </w:t>
      </w:r>
      <w:r w:rsidR="001448EA">
        <w:t xml:space="preserve">their issues </w:t>
      </w:r>
      <w:r w:rsidR="369D531A">
        <w:t>escalat</w:t>
      </w:r>
      <w:r w:rsidR="15E61B71">
        <w:t>e</w:t>
      </w:r>
      <w:r>
        <w:t xml:space="preserve"> to a crisis</w:t>
      </w:r>
      <w:r w:rsidR="007A4F5E">
        <w:t xml:space="preserve"> point</w:t>
      </w:r>
      <w:r>
        <w:t>.</w:t>
      </w:r>
      <w:r w:rsidR="00356DD6">
        <w:t xml:space="preserve"> </w:t>
      </w:r>
      <w:r w:rsidR="00F42D61">
        <w:t>Early a</w:t>
      </w:r>
      <w:r w:rsidR="00DB22EE">
        <w:t xml:space="preserve">ccess to high quality, </w:t>
      </w:r>
      <w:r w:rsidR="00F42D61">
        <w:t>effective supports</w:t>
      </w:r>
      <w:r w:rsidR="001A15A7" w:rsidDel="00DB22EE">
        <w:t xml:space="preserve"> </w:t>
      </w:r>
      <w:r w:rsidR="00DC6383">
        <w:t>will prevent</w:t>
      </w:r>
      <w:r w:rsidR="00EE3A4E">
        <w:t xml:space="preserve"> people’s mental health issues and legal problems spiralling out of control</w:t>
      </w:r>
      <w:r w:rsidR="00DC6383">
        <w:t>. This will in turn</w:t>
      </w:r>
      <w:r w:rsidR="00EE3A4E">
        <w:t xml:space="preserve"> </w:t>
      </w:r>
      <w:r w:rsidR="00DC6383">
        <w:t xml:space="preserve">reduce </w:t>
      </w:r>
      <w:r w:rsidR="00DB22EE">
        <w:t xml:space="preserve">hardship and suffering for people experiencing </w:t>
      </w:r>
      <w:r w:rsidR="00F42D61">
        <w:t>mental health issues, their friends</w:t>
      </w:r>
      <w:r w:rsidR="00C47FC2">
        <w:t>,</w:t>
      </w:r>
      <w:r w:rsidR="00F42D61">
        <w:t xml:space="preserve"> families, and </w:t>
      </w:r>
      <w:r w:rsidR="003A677D">
        <w:t>communities.</w:t>
      </w:r>
      <w:r w:rsidR="00EE3A4E" w:rsidDel="00A77116">
        <w:t xml:space="preserve"> </w:t>
      </w:r>
      <w:r w:rsidR="009420A5">
        <w:t xml:space="preserve">Consumer leadership and engagement must </w:t>
      </w:r>
      <w:r w:rsidR="00BD57AB">
        <w:t xml:space="preserve">be </w:t>
      </w:r>
      <w:r w:rsidR="009420A5">
        <w:t xml:space="preserve">embedded </w:t>
      </w:r>
      <w:r w:rsidR="009420A5" w:rsidRPr="00997D6E">
        <w:t>to ensure people directly affected by the mental health system have the power to shape a new, fairer system.</w:t>
      </w:r>
    </w:p>
    <w:p w14:paraId="565E2061" w14:textId="5358E687" w:rsidR="00DA0C0C" w:rsidRPr="00262136" w:rsidRDefault="002F2017" w:rsidP="00CD5660">
      <w:r>
        <w:t xml:space="preserve">In our vision for Victoria’s mental health system, </w:t>
      </w:r>
      <w:r w:rsidR="0085482B">
        <w:t>a</w:t>
      </w:r>
      <w:r w:rsidR="005B4567" w:rsidRPr="005B4567">
        <w:t>ll Victorians experiencing mental health issues can access tailored and safe services</w:t>
      </w:r>
      <w:r w:rsidR="005B4567">
        <w:t xml:space="preserve">, </w:t>
      </w:r>
      <w:r w:rsidR="005B4567" w:rsidRPr="005B4567">
        <w:t>including Aboriginal and Torres Strait Islander people, people from CALD communities, LGBTIQ+ people, older people, women, people diagnosed with dual disability, and people in regional areas.</w:t>
      </w:r>
      <w:r w:rsidR="00877653">
        <w:t xml:space="preserve"> </w:t>
      </w:r>
      <w:r w:rsidR="005A2DE0">
        <w:t>W</w:t>
      </w:r>
      <w:r w:rsidR="00532173">
        <w:t>e recommend</w:t>
      </w:r>
      <w:r w:rsidR="004726EB">
        <w:t xml:space="preserve"> key changes for children and young people, including increasing specialist mental health services for children and young people to avoid them experiencing legal problems when experiencing a mental health crisis</w:t>
      </w:r>
      <w:r w:rsidR="00D0464E">
        <w:t xml:space="preserve">, and raising the age of criminal responsibility to </w:t>
      </w:r>
      <w:r w:rsidR="001054F0">
        <w:t>delay and prevent entry into the criminal justice system</w:t>
      </w:r>
      <w:r w:rsidR="004726EB">
        <w:t xml:space="preserve">. </w:t>
      </w:r>
      <w:r w:rsidR="009420A5">
        <w:t xml:space="preserve">We also recommend </w:t>
      </w:r>
      <w:r w:rsidR="00CF020F">
        <w:t>s</w:t>
      </w:r>
      <w:r w:rsidR="00CF020F" w:rsidRPr="00CF020F">
        <w:t>upport</w:t>
      </w:r>
      <w:r w:rsidR="00CF020F">
        <w:t xml:space="preserve">ing </w:t>
      </w:r>
      <w:r w:rsidR="00CF020F" w:rsidRPr="00CF020F">
        <w:t>people who experience and use family violence to access family violence services</w:t>
      </w:r>
      <w:r w:rsidR="00041010">
        <w:t xml:space="preserve">, and improving responses to family violence </w:t>
      </w:r>
      <w:r w:rsidR="00CF020F" w:rsidRPr="00CF020F">
        <w:t>in the mental health system by implementing a whole of service approach.</w:t>
      </w:r>
    </w:p>
    <w:p w14:paraId="7A68E5D2" w14:textId="14909A0C" w:rsidR="00BB4268" w:rsidRDefault="003423F6" w:rsidP="00CD5660">
      <w:r>
        <w:t>N</w:t>
      </w:r>
      <w:r w:rsidR="0085482B">
        <w:t xml:space="preserve">on-legal advocacy </w:t>
      </w:r>
      <w:r w:rsidR="66ACA5D2">
        <w:t>should be</w:t>
      </w:r>
      <w:r w:rsidR="0085482B">
        <w:t xml:space="preserve"> available to all consumers subject to compulsory treatment, and access to legal assistance </w:t>
      </w:r>
      <w:r w:rsidR="008D7986">
        <w:t xml:space="preserve">should be available </w:t>
      </w:r>
      <w:r w:rsidR="00BE4BDF">
        <w:t xml:space="preserve">for people experiencing mental health issues, particularly </w:t>
      </w:r>
      <w:r w:rsidR="00F77F6E">
        <w:t>before the</w:t>
      </w:r>
      <w:r w:rsidR="00BE4BDF">
        <w:t xml:space="preserve"> Mental Health Tribunal.</w:t>
      </w:r>
      <w:r w:rsidR="0079389D">
        <w:t xml:space="preserve"> </w:t>
      </w:r>
      <w:r w:rsidR="003F3D65">
        <w:t xml:space="preserve">Mental health services should </w:t>
      </w:r>
      <w:r w:rsidR="00004275">
        <w:t>adopt the</w:t>
      </w:r>
      <w:r w:rsidR="00004275" w:rsidRPr="00004275">
        <w:t xml:space="preserve"> least restrictive </w:t>
      </w:r>
      <w:r w:rsidR="00004275">
        <w:t xml:space="preserve">treatment, only use </w:t>
      </w:r>
      <w:r w:rsidR="00004275" w:rsidRPr="00004275">
        <w:t xml:space="preserve">compulsory treatment </w:t>
      </w:r>
      <w:r w:rsidR="00004275">
        <w:t>a</w:t>
      </w:r>
      <w:r w:rsidR="00004275" w:rsidRPr="00004275">
        <w:t>s a last resort, and</w:t>
      </w:r>
      <w:r w:rsidR="00004275">
        <w:t xml:space="preserve"> </w:t>
      </w:r>
      <w:r w:rsidR="00004275" w:rsidRPr="00004275">
        <w:t>support</w:t>
      </w:r>
      <w:r w:rsidR="00004275">
        <w:t xml:space="preserve"> people</w:t>
      </w:r>
      <w:r w:rsidR="00004275" w:rsidRPr="00004275">
        <w:t xml:space="preserve"> to remain in the community </w:t>
      </w:r>
      <w:r w:rsidR="00004275">
        <w:t>wherever possible</w:t>
      </w:r>
      <w:r w:rsidR="00004275" w:rsidRPr="00004275">
        <w:t>.</w:t>
      </w:r>
      <w:r w:rsidR="00DB328F">
        <w:t xml:space="preserve"> This requires </w:t>
      </w:r>
      <w:r w:rsidR="00DB328F" w:rsidRPr="00DB328F">
        <w:t xml:space="preserve">effective oversight and accountability mechanisms to ensure </w:t>
      </w:r>
      <w:r w:rsidR="00341242">
        <w:t>the</w:t>
      </w:r>
      <w:r w:rsidR="00DB328F" w:rsidRPr="00DB328F">
        <w:t xml:space="preserve"> </w:t>
      </w:r>
      <w:r w:rsidR="00BD57AB" w:rsidRPr="007B68C3">
        <w:rPr>
          <w:i/>
        </w:rPr>
        <w:t xml:space="preserve">Mental Health Act </w:t>
      </w:r>
      <w:r w:rsidR="78E73192" w:rsidRPr="007B68C3">
        <w:rPr>
          <w:i/>
        </w:rPr>
        <w:t>2014</w:t>
      </w:r>
      <w:r w:rsidR="78E73192">
        <w:t xml:space="preserve"> (Vic) (</w:t>
      </w:r>
      <w:r w:rsidR="54AA24E5" w:rsidRPr="007B68C3">
        <w:rPr>
          <w:b/>
        </w:rPr>
        <w:t>Mental Health Act</w:t>
      </w:r>
      <w:r w:rsidR="555970ED">
        <w:t>)</w:t>
      </w:r>
      <w:r w:rsidR="54AA24E5">
        <w:t xml:space="preserve"> </w:t>
      </w:r>
      <w:r w:rsidR="00BD57AB">
        <w:t>principles</w:t>
      </w:r>
      <w:r w:rsidR="00DB328F" w:rsidRPr="00DB328F">
        <w:t xml:space="preserve"> are implemented and consumers’ rights are upheld, including </w:t>
      </w:r>
      <w:r w:rsidR="00DB328F">
        <w:t>by implementing</w:t>
      </w:r>
      <w:r w:rsidR="00DB328F" w:rsidRPr="00DB328F">
        <w:t xml:space="preserve"> supported decision-making in mental health services</w:t>
      </w:r>
      <w:r w:rsidR="00BE4BDF">
        <w:t>.</w:t>
      </w:r>
    </w:p>
    <w:p w14:paraId="2C873645" w14:textId="305BB9A1" w:rsidR="0085482B" w:rsidRPr="00262136" w:rsidRDefault="00DE552C" w:rsidP="00CD5660">
      <w:r>
        <w:t>R</w:t>
      </w:r>
      <w:r w:rsidR="00C446A0" w:rsidRPr="00C446A0">
        <w:t>educing reliance on Victoria Police as first responders to people experiencing a mental health crisis, and increas</w:t>
      </w:r>
      <w:r w:rsidR="00C446A0">
        <w:t>ing</w:t>
      </w:r>
      <w:r w:rsidR="00C446A0" w:rsidRPr="00C446A0">
        <w:t xml:space="preserve"> resources for trained, trauma-informed and holistic mental health responses for all services</w:t>
      </w:r>
      <w:r w:rsidR="0038777B" w:rsidRPr="0038777B">
        <w:t xml:space="preserve"> </w:t>
      </w:r>
      <w:r w:rsidR="0038777B">
        <w:t>will reduce the net-widening impact of law enforcement responses</w:t>
      </w:r>
      <w:r w:rsidR="00C446A0" w:rsidRPr="00C446A0">
        <w:t>.</w:t>
      </w:r>
      <w:r w:rsidR="009F3BBC">
        <w:t xml:space="preserve"> </w:t>
      </w:r>
      <w:r w:rsidR="00367B56">
        <w:t xml:space="preserve">People can be diverted away from the criminal justice systems by </w:t>
      </w:r>
      <w:r w:rsidR="0038777B">
        <w:t>a</w:t>
      </w:r>
      <w:r w:rsidR="00FA4E8E">
        <w:t xml:space="preserve"> reorient</w:t>
      </w:r>
      <w:r w:rsidR="0038777B">
        <w:t>ation</w:t>
      </w:r>
      <w:r w:rsidR="00FA4E8E">
        <w:t xml:space="preserve"> of police practices </w:t>
      </w:r>
      <w:r w:rsidR="00427431">
        <w:t>and</w:t>
      </w:r>
      <w:r w:rsidR="003C0D7A" w:rsidDel="00FA4E8E">
        <w:t xml:space="preserve"> </w:t>
      </w:r>
      <w:r w:rsidR="0038777B">
        <w:t xml:space="preserve">the </w:t>
      </w:r>
      <w:r w:rsidR="003C0D7A">
        <w:t>i</w:t>
      </w:r>
      <w:r w:rsidR="009F3BBC">
        <w:t>ncreas</w:t>
      </w:r>
      <w:r w:rsidR="003C0D7A">
        <w:t>e</w:t>
      </w:r>
      <w:r w:rsidR="00FA4E8E">
        <w:t>d</w:t>
      </w:r>
      <w:r w:rsidR="009F3BBC">
        <w:t xml:space="preserve"> use of discretion to warn, caution and divert, </w:t>
      </w:r>
      <w:r w:rsidR="00FA4E8E">
        <w:t xml:space="preserve">and </w:t>
      </w:r>
      <w:r w:rsidR="001E104C" w:rsidRPr="001E104C">
        <w:t>proceed by summons rather than arrest</w:t>
      </w:r>
      <w:r w:rsidR="00FA4E8E">
        <w:t xml:space="preserve">. </w:t>
      </w:r>
      <w:r w:rsidR="009631EF">
        <w:t>A</w:t>
      </w:r>
      <w:r w:rsidR="001E104C" w:rsidRPr="001E104C">
        <w:t>ddress</w:t>
      </w:r>
      <w:r w:rsidR="009631EF">
        <w:t>ing</w:t>
      </w:r>
      <w:r w:rsidR="001E104C" w:rsidRPr="001E104C">
        <w:t xml:space="preserve"> the </w:t>
      </w:r>
      <w:r w:rsidR="001E104C" w:rsidRPr="001E104C">
        <w:lastRenderedPageBreak/>
        <w:t xml:space="preserve">impact of Bail Act reforms on people </w:t>
      </w:r>
      <w:r w:rsidR="30F8927F">
        <w:t xml:space="preserve">experiencing mental </w:t>
      </w:r>
      <w:r w:rsidR="002F15ED">
        <w:t>health issues</w:t>
      </w:r>
      <w:r w:rsidR="30F8927F">
        <w:t xml:space="preserve"> </w:t>
      </w:r>
      <w:r w:rsidR="001B0C3F">
        <w:t>and resourcing state</w:t>
      </w:r>
      <w:r w:rsidR="00887BC0">
        <w:t>-</w:t>
      </w:r>
      <w:r w:rsidR="001B0C3F">
        <w:t xml:space="preserve">wide access to the Court Integrated Services Program </w:t>
      </w:r>
      <w:r w:rsidR="008705FA">
        <w:t xml:space="preserve">would reduce the number of people experiencing mental health issues </w:t>
      </w:r>
      <w:r w:rsidR="009B2C40">
        <w:t xml:space="preserve">spending time on custody because of the </w:t>
      </w:r>
      <w:r w:rsidR="0016556A">
        <w:t>issues and challenges</w:t>
      </w:r>
      <w:r w:rsidR="009B2C40">
        <w:t xml:space="preserve"> in their lives rather than the </w:t>
      </w:r>
      <w:r w:rsidR="003A5C25">
        <w:t xml:space="preserve">offences that </w:t>
      </w:r>
      <w:r w:rsidR="009B2C40">
        <w:t>they</w:t>
      </w:r>
      <w:r w:rsidR="003A5C25">
        <w:t xml:space="preserve"> hav</w:t>
      </w:r>
      <w:r w:rsidR="009B2C40">
        <w:t>e committed</w:t>
      </w:r>
      <w:r w:rsidR="001E104C" w:rsidRPr="001E104C">
        <w:t>.</w:t>
      </w:r>
      <w:r w:rsidR="00BB4268">
        <w:t xml:space="preserve"> </w:t>
      </w:r>
      <w:r w:rsidR="00182053">
        <w:t>Pathways in the s</w:t>
      </w:r>
      <w:r w:rsidR="008B0555">
        <w:t xml:space="preserve">ummary jurisdiction </w:t>
      </w:r>
      <w:r w:rsidR="00182053">
        <w:t xml:space="preserve">should be expanded, including </w:t>
      </w:r>
      <w:r w:rsidR="001B0C3F">
        <w:t>mechanisms for fitness determinations, state</w:t>
      </w:r>
      <w:r w:rsidR="00887BC0">
        <w:t>-</w:t>
      </w:r>
      <w:r w:rsidR="001B0C3F">
        <w:t>wide access to t</w:t>
      </w:r>
      <w:r w:rsidR="004726EB">
        <w:t>herapeutic courts</w:t>
      </w:r>
      <w:r w:rsidR="001B0C3F">
        <w:t xml:space="preserve">, </w:t>
      </w:r>
      <w:r w:rsidR="00666826">
        <w:t xml:space="preserve">and an increased range of dispositions </w:t>
      </w:r>
      <w:r w:rsidR="0031750C">
        <w:t>where mental health has contributed to offending</w:t>
      </w:r>
      <w:r w:rsidR="004726EB">
        <w:t>.</w:t>
      </w:r>
      <w:r w:rsidR="00BC1715">
        <w:t xml:space="preserve"> </w:t>
      </w:r>
      <w:r w:rsidR="00274172">
        <w:t xml:space="preserve">We </w:t>
      </w:r>
      <w:r w:rsidR="61AA753D">
        <w:t xml:space="preserve">also </w:t>
      </w:r>
      <w:r w:rsidR="51C30FD3">
        <w:t>recommend</w:t>
      </w:r>
      <w:r w:rsidR="00274172">
        <w:t xml:space="preserve"> increase</w:t>
      </w:r>
      <w:r w:rsidR="12EB3E35">
        <w:t>d</w:t>
      </w:r>
      <w:r w:rsidR="00274172">
        <w:t xml:space="preserve"> access</w:t>
      </w:r>
      <w:r w:rsidR="0686978C">
        <w:t xml:space="preserve"> to</w:t>
      </w:r>
      <w:r w:rsidR="00274172">
        <w:t xml:space="preserve"> </w:t>
      </w:r>
      <w:r w:rsidR="00BC1715" w:rsidRPr="00BC1715">
        <w:t xml:space="preserve">mental health services to support people to remain in the community, access appropriate therapeutic supports while in custody and </w:t>
      </w:r>
      <w:r w:rsidR="00871684">
        <w:t xml:space="preserve">transition support when </w:t>
      </w:r>
      <w:r w:rsidR="00BC1715" w:rsidRPr="00BC1715">
        <w:t>exit</w:t>
      </w:r>
      <w:r w:rsidR="00871684">
        <w:t>ing</w:t>
      </w:r>
      <w:r w:rsidR="00BC1715" w:rsidRPr="00BC1715">
        <w:t xml:space="preserve"> custody </w:t>
      </w:r>
      <w:r w:rsidR="00871684">
        <w:t>into the community</w:t>
      </w:r>
      <w:r w:rsidR="00BC1715" w:rsidRPr="00BC1715">
        <w:t>.</w:t>
      </w:r>
      <w:r w:rsidR="00705848">
        <w:rPr>
          <w:rStyle w:val="FootnoteReference"/>
        </w:rPr>
        <w:footnoteReference w:id="3"/>
      </w:r>
    </w:p>
    <w:p w14:paraId="2DDB5D97" w14:textId="3B38DF30" w:rsidR="00B974FA" w:rsidRDefault="00D251F8" w:rsidP="00610C9E">
      <w:r>
        <w:t xml:space="preserve">In the aftermath of the COVID-19 crisis, the need for a responsive, recovery-focused mental health system will be more important than ever. </w:t>
      </w:r>
      <w:r w:rsidR="00212D31">
        <w:t xml:space="preserve">Victoria will </w:t>
      </w:r>
      <w:r w:rsidR="008B6784">
        <w:t xml:space="preserve">need to ensure that </w:t>
      </w:r>
      <w:r w:rsidR="00C2599A">
        <w:t>people experiencing social problems</w:t>
      </w:r>
      <w:r w:rsidR="008B6784">
        <w:t xml:space="preserve"> that drive and exacerbate mental health issues </w:t>
      </w:r>
      <w:r w:rsidR="006C0BED">
        <w:t xml:space="preserve">are </w:t>
      </w:r>
      <w:r w:rsidR="00E26A8B">
        <w:t xml:space="preserve">supported </w:t>
      </w:r>
      <w:r w:rsidR="00B4765F">
        <w:t>to</w:t>
      </w:r>
      <w:r w:rsidR="005253F4">
        <w:t xml:space="preserve"> reduce </w:t>
      </w:r>
      <w:r w:rsidR="00B4765F">
        <w:t>the</w:t>
      </w:r>
      <w:r w:rsidR="005253F4">
        <w:t xml:space="preserve"> strain on our health system at </w:t>
      </w:r>
      <w:r w:rsidR="00B4765F">
        <w:t>a</w:t>
      </w:r>
      <w:r w:rsidR="005253F4">
        <w:t xml:space="preserve"> time </w:t>
      </w:r>
      <w:r w:rsidR="00B4765F">
        <w:t>when</w:t>
      </w:r>
      <w:r w:rsidR="005253F4">
        <w:t xml:space="preserve"> resources are </w:t>
      </w:r>
      <w:r w:rsidR="006B1289">
        <w:t xml:space="preserve">already </w:t>
      </w:r>
      <w:r w:rsidR="005253F4">
        <w:t xml:space="preserve">stretched due to </w:t>
      </w:r>
      <w:r w:rsidR="001345E9">
        <w:t>economic impacts of</w:t>
      </w:r>
      <w:r w:rsidR="005253F4">
        <w:t xml:space="preserve"> the COVID-19 pandemic.</w:t>
      </w:r>
    </w:p>
    <w:p w14:paraId="64FF854A" w14:textId="305E283B" w:rsidR="00B974FA" w:rsidRPr="000729A9" w:rsidRDefault="00B974FA" w:rsidP="00610C9E">
      <w:pPr>
        <w:pStyle w:val="Normaloutlinebox"/>
        <w:keepNext/>
        <w:rPr>
          <w:b/>
          <w:color w:val="0098CB"/>
          <w:sz w:val="24"/>
          <w:lang w:eastAsia="en-AU"/>
        </w:rPr>
      </w:pPr>
      <w:r w:rsidRPr="000729A9">
        <w:rPr>
          <w:b/>
          <w:color w:val="0098CB"/>
          <w:sz w:val="24"/>
          <w:lang w:eastAsia="en-AU"/>
        </w:rPr>
        <w:t>Guiding principles</w:t>
      </w:r>
    </w:p>
    <w:p w14:paraId="39A942D9" w14:textId="7DCD37EA" w:rsidR="00B974FA" w:rsidRDefault="00B974FA" w:rsidP="00610C9E">
      <w:pPr>
        <w:pStyle w:val="Normaloutlinebox"/>
        <w:rPr>
          <w:lang w:eastAsia="en-AU"/>
        </w:rPr>
      </w:pPr>
      <w:r>
        <w:rPr>
          <w:lang w:eastAsia="en-AU"/>
        </w:rPr>
        <w:t>In preparing these recommendations, VLA consulted with our mental health lived experience advisory group, Speaking from Experience. These guiding principles developed by consumers with direct experience of mental health services have informed our recommendations. These principles may also provide useful reminders for the Royal Commission in developing your final recommendations for reform.</w:t>
      </w:r>
    </w:p>
    <w:p w14:paraId="2D7645F1" w14:textId="01D56F53" w:rsidR="00B974FA" w:rsidRDefault="00B974FA" w:rsidP="00984FB7">
      <w:pPr>
        <w:pStyle w:val="Normaloutlinebox"/>
        <w:numPr>
          <w:ilvl w:val="0"/>
          <w:numId w:val="9"/>
        </w:numPr>
        <w:rPr>
          <w:lang w:eastAsia="en-AU"/>
        </w:rPr>
      </w:pPr>
      <w:r>
        <w:rPr>
          <w:lang w:eastAsia="en-AU"/>
        </w:rPr>
        <w:t xml:space="preserve">Would what you are proposing for reform be good enough for you </w:t>
      </w:r>
      <w:r w:rsidRPr="7A860E96">
        <w:rPr>
          <w:lang w:eastAsia="en-AU"/>
        </w:rPr>
        <w:t xml:space="preserve">or </w:t>
      </w:r>
      <w:r>
        <w:rPr>
          <w:lang w:eastAsia="en-AU"/>
        </w:rPr>
        <w:t xml:space="preserve">your family? </w:t>
      </w:r>
    </w:p>
    <w:p w14:paraId="2D65F07D" w14:textId="0422231B" w:rsidR="00B974FA" w:rsidRDefault="00B974FA" w:rsidP="00984FB7">
      <w:pPr>
        <w:pStyle w:val="Normaloutlinebox"/>
        <w:numPr>
          <w:ilvl w:val="0"/>
          <w:numId w:val="9"/>
        </w:numPr>
        <w:rPr>
          <w:lang w:eastAsia="en-AU"/>
        </w:rPr>
      </w:pPr>
      <w:r>
        <w:rPr>
          <w:lang w:eastAsia="en-AU"/>
        </w:rPr>
        <w:t>Are you looking through a human rights lens?</w:t>
      </w:r>
    </w:p>
    <w:p w14:paraId="3AC7BF41" w14:textId="4A1E97EE" w:rsidR="00B974FA" w:rsidRDefault="00B974FA" w:rsidP="00984FB7">
      <w:pPr>
        <w:pStyle w:val="Normaloutlinebox"/>
        <w:numPr>
          <w:ilvl w:val="0"/>
          <w:numId w:val="9"/>
        </w:numPr>
        <w:rPr>
          <w:lang w:eastAsia="en-AU"/>
        </w:rPr>
      </w:pPr>
      <w:r>
        <w:rPr>
          <w:lang w:eastAsia="en-AU"/>
        </w:rPr>
        <w:t>What are consumers’ views on what you are proposing?</w:t>
      </w:r>
    </w:p>
    <w:p w14:paraId="1C010445" w14:textId="03994D74" w:rsidR="00B974FA" w:rsidRPr="00717C0B" w:rsidRDefault="00B974FA" w:rsidP="00984FB7">
      <w:pPr>
        <w:pStyle w:val="Normaloutlinebox"/>
        <w:numPr>
          <w:ilvl w:val="0"/>
          <w:numId w:val="9"/>
        </w:numPr>
        <w:rPr>
          <w:lang w:eastAsia="en-AU"/>
        </w:rPr>
      </w:pPr>
      <w:r>
        <w:rPr>
          <w:lang w:eastAsia="en-AU"/>
        </w:rPr>
        <w:t>Is this unnecessarily restrictive or 'one size fits all'? Or is this flexible and responsive enough to respond to different people with different needs?</w:t>
      </w:r>
    </w:p>
    <w:p w14:paraId="61FD8B88" w14:textId="2B3D0D6B" w:rsidR="00983C72" w:rsidRDefault="00983C72" w:rsidP="00610C9E"/>
    <w:p w14:paraId="7BD73B3D" w14:textId="595E675E" w:rsidR="003C7609" w:rsidRDefault="003C7609" w:rsidP="002A3613">
      <w:pPr>
        <w:rPr>
          <w:rFonts w:cs="Arial"/>
          <w:b/>
          <w:bCs/>
          <w:color w:val="216E96"/>
          <w:kern w:val="32"/>
          <w:sz w:val="32"/>
          <w:szCs w:val="32"/>
          <w:lang w:eastAsia="en-AU"/>
        </w:rPr>
      </w:pPr>
      <w:bookmarkStart w:id="2" w:name="_Toc40178181"/>
      <w:bookmarkStart w:id="3" w:name="_Toc40186330"/>
      <w:bookmarkStart w:id="4" w:name="_Toc40186725"/>
      <w:bookmarkStart w:id="5" w:name="_Toc40215220"/>
      <w:bookmarkStart w:id="6" w:name="_Toc40215976"/>
      <w:bookmarkStart w:id="7" w:name="_Toc40216601"/>
      <w:bookmarkStart w:id="8" w:name="_Toc40217222"/>
      <w:bookmarkStart w:id="9" w:name="_Toc40217843"/>
      <w:bookmarkStart w:id="10" w:name="_Toc40245666"/>
      <w:bookmarkStart w:id="11" w:name="_Toc40246322"/>
      <w:bookmarkStart w:id="12" w:name="_Toc40246978"/>
      <w:bookmarkStart w:id="13" w:name="_Toc40247892"/>
      <w:bookmarkStart w:id="14" w:name="_Toc40248418"/>
      <w:bookmarkStart w:id="15" w:name="_Toc40249538"/>
      <w:bookmarkStart w:id="16" w:name="_Toc40251306"/>
      <w:bookmarkStart w:id="17" w:name="_Toc40256415"/>
      <w:bookmarkStart w:id="18" w:name="_Toc40178182"/>
      <w:bookmarkStart w:id="19" w:name="_Toc40186331"/>
      <w:bookmarkStart w:id="20" w:name="_Toc40186726"/>
      <w:bookmarkStart w:id="21" w:name="_Toc40215221"/>
      <w:bookmarkStart w:id="22" w:name="_Toc40215977"/>
      <w:bookmarkStart w:id="23" w:name="_Toc40216602"/>
      <w:bookmarkStart w:id="24" w:name="_Toc40217223"/>
      <w:bookmarkStart w:id="25" w:name="_Toc40217844"/>
      <w:bookmarkStart w:id="26" w:name="_Toc40245667"/>
      <w:bookmarkStart w:id="27" w:name="_Toc40246323"/>
      <w:bookmarkStart w:id="28" w:name="_Toc40246979"/>
      <w:bookmarkStart w:id="29" w:name="_Toc40247893"/>
      <w:bookmarkStart w:id="30" w:name="_Toc40248419"/>
      <w:bookmarkStart w:id="31" w:name="_Toc40249539"/>
      <w:bookmarkStart w:id="32" w:name="_Toc40251307"/>
      <w:bookmarkStart w:id="33" w:name="_Toc40256416"/>
      <w:bookmarkStart w:id="34" w:name="_Toc40178183"/>
      <w:bookmarkStart w:id="35" w:name="_Toc40186332"/>
      <w:bookmarkStart w:id="36" w:name="_Toc40186727"/>
      <w:bookmarkStart w:id="37" w:name="_Toc40215222"/>
      <w:bookmarkStart w:id="38" w:name="_Toc40215978"/>
      <w:bookmarkStart w:id="39" w:name="_Toc40216603"/>
      <w:bookmarkStart w:id="40" w:name="_Toc40217224"/>
      <w:bookmarkStart w:id="41" w:name="_Toc40217845"/>
      <w:bookmarkStart w:id="42" w:name="_Toc40245668"/>
      <w:bookmarkStart w:id="43" w:name="_Toc40246324"/>
      <w:bookmarkStart w:id="44" w:name="_Toc40246980"/>
      <w:bookmarkStart w:id="45" w:name="_Toc40247894"/>
      <w:bookmarkStart w:id="46" w:name="_Toc40248420"/>
      <w:bookmarkStart w:id="47" w:name="_Toc40249540"/>
      <w:bookmarkStart w:id="48" w:name="_Toc40251308"/>
      <w:bookmarkStart w:id="49" w:name="_Toc40256417"/>
      <w:bookmarkStart w:id="50" w:name="_Toc40178184"/>
      <w:bookmarkStart w:id="51" w:name="_Toc40186333"/>
      <w:bookmarkStart w:id="52" w:name="_Toc40186728"/>
      <w:bookmarkStart w:id="53" w:name="_Toc40215223"/>
      <w:bookmarkStart w:id="54" w:name="_Toc40215979"/>
      <w:bookmarkStart w:id="55" w:name="_Toc40216604"/>
      <w:bookmarkStart w:id="56" w:name="_Toc40217225"/>
      <w:bookmarkStart w:id="57" w:name="_Toc40217846"/>
      <w:bookmarkStart w:id="58" w:name="_Toc40245669"/>
      <w:bookmarkStart w:id="59" w:name="_Toc40246325"/>
      <w:bookmarkStart w:id="60" w:name="_Toc40246981"/>
      <w:bookmarkStart w:id="61" w:name="_Toc40247895"/>
      <w:bookmarkStart w:id="62" w:name="_Toc40248421"/>
      <w:bookmarkStart w:id="63" w:name="_Toc40249541"/>
      <w:bookmarkStart w:id="64" w:name="_Toc40251309"/>
      <w:bookmarkStart w:id="65" w:name="_Toc40256418"/>
      <w:bookmarkStart w:id="66" w:name="_Toc40178185"/>
      <w:bookmarkStart w:id="67" w:name="_Toc40186334"/>
      <w:bookmarkStart w:id="68" w:name="_Toc40186729"/>
      <w:bookmarkStart w:id="69" w:name="_Toc40215224"/>
      <w:bookmarkStart w:id="70" w:name="_Toc40215980"/>
      <w:bookmarkStart w:id="71" w:name="_Toc40216605"/>
      <w:bookmarkStart w:id="72" w:name="_Toc40217226"/>
      <w:bookmarkStart w:id="73" w:name="_Toc40217847"/>
      <w:bookmarkStart w:id="74" w:name="_Toc40245670"/>
      <w:bookmarkStart w:id="75" w:name="_Toc40246326"/>
      <w:bookmarkStart w:id="76" w:name="_Toc40246982"/>
      <w:bookmarkStart w:id="77" w:name="_Toc40247896"/>
      <w:bookmarkStart w:id="78" w:name="_Toc40248422"/>
      <w:bookmarkStart w:id="79" w:name="_Toc40249542"/>
      <w:bookmarkStart w:id="80" w:name="_Toc40251310"/>
      <w:bookmarkStart w:id="81" w:name="_Toc40256419"/>
      <w:bookmarkStart w:id="82" w:name="_Toc40178186"/>
      <w:bookmarkStart w:id="83" w:name="_Toc40186335"/>
      <w:bookmarkStart w:id="84" w:name="_Toc40186730"/>
      <w:bookmarkStart w:id="85" w:name="_Toc40215225"/>
      <w:bookmarkStart w:id="86" w:name="_Toc40215981"/>
      <w:bookmarkStart w:id="87" w:name="_Toc40216606"/>
      <w:bookmarkStart w:id="88" w:name="_Toc40217227"/>
      <w:bookmarkStart w:id="89" w:name="_Toc40217848"/>
      <w:bookmarkStart w:id="90" w:name="_Toc40245671"/>
      <w:bookmarkStart w:id="91" w:name="_Toc40246327"/>
      <w:bookmarkStart w:id="92" w:name="_Toc40246983"/>
      <w:bookmarkStart w:id="93" w:name="_Toc40247897"/>
      <w:bookmarkStart w:id="94" w:name="_Toc40248423"/>
      <w:bookmarkStart w:id="95" w:name="_Toc40249543"/>
      <w:bookmarkStart w:id="96" w:name="_Toc40251311"/>
      <w:bookmarkStart w:id="97" w:name="_Toc40256420"/>
      <w:bookmarkStart w:id="98" w:name="_Toc40178187"/>
      <w:bookmarkStart w:id="99" w:name="_Toc40186336"/>
      <w:bookmarkStart w:id="100" w:name="_Toc40186731"/>
      <w:bookmarkStart w:id="101" w:name="_Toc40215226"/>
      <w:bookmarkStart w:id="102" w:name="_Toc40215982"/>
      <w:bookmarkStart w:id="103" w:name="_Toc40216607"/>
      <w:bookmarkStart w:id="104" w:name="_Toc40217228"/>
      <w:bookmarkStart w:id="105" w:name="_Toc40217849"/>
      <w:bookmarkStart w:id="106" w:name="_Toc40245672"/>
      <w:bookmarkStart w:id="107" w:name="_Toc40246328"/>
      <w:bookmarkStart w:id="108" w:name="_Toc40246984"/>
      <w:bookmarkStart w:id="109" w:name="_Toc40247898"/>
      <w:bookmarkStart w:id="110" w:name="_Toc40248424"/>
      <w:bookmarkStart w:id="111" w:name="_Toc40249544"/>
      <w:bookmarkStart w:id="112" w:name="_Toc40251312"/>
      <w:bookmarkStart w:id="113" w:name="_Toc40256421"/>
      <w:bookmarkStart w:id="114" w:name="_Toc40178188"/>
      <w:bookmarkStart w:id="115" w:name="_Toc40186337"/>
      <w:bookmarkStart w:id="116" w:name="_Toc40186732"/>
      <w:bookmarkStart w:id="117" w:name="_Toc40215227"/>
      <w:bookmarkStart w:id="118" w:name="_Toc40215983"/>
      <w:bookmarkStart w:id="119" w:name="_Toc40216608"/>
      <w:bookmarkStart w:id="120" w:name="_Toc40217229"/>
      <w:bookmarkStart w:id="121" w:name="_Toc40217850"/>
      <w:bookmarkStart w:id="122" w:name="_Toc40245673"/>
      <w:bookmarkStart w:id="123" w:name="_Toc40246329"/>
      <w:bookmarkStart w:id="124" w:name="_Toc40246985"/>
      <w:bookmarkStart w:id="125" w:name="_Toc40247899"/>
      <w:bookmarkStart w:id="126" w:name="_Toc40248425"/>
      <w:bookmarkStart w:id="127" w:name="_Toc40249545"/>
      <w:bookmarkStart w:id="128" w:name="_Toc40251313"/>
      <w:bookmarkStart w:id="129" w:name="_Toc40256422"/>
      <w:bookmarkStart w:id="130" w:name="_Toc40178199"/>
      <w:bookmarkStart w:id="131" w:name="_Toc40186348"/>
      <w:bookmarkStart w:id="132" w:name="_Toc40186743"/>
      <w:bookmarkStart w:id="133" w:name="_Toc40215238"/>
      <w:bookmarkStart w:id="134" w:name="_Toc40215994"/>
      <w:bookmarkStart w:id="135" w:name="_Toc40216619"/>
      <w:bookmarkStart w:id="136" w:name="_Toc40217240"/>
      <w:bookmarkStart w:id="137" w:name="_Toc40217861"/>
      <w:bookmarkStart w:id="138" w:name="_Toc40245684"/>
      <w:bookmarkStart w:id="139" w:name="_Toc40246340"/>
      <w:bookmarkStart w:id="140" w:name="_Toc40246996"/>
      <w:bookmarkStart w:id="141" w:name="_Toc40247910"/>
      <w:bookmarkStart w:id="142" w:name="_Toc40248436"/>
      <w:bookmarkStart w:id="143" w:name="_Toc40249556"/>
      <w:bookmarkStart w:id="144" w:name="_Toc40251324"/>
      <w:bookmarkStart w:id="145" w:name="_Toc40256433"/>
      <w:bookmarkStart w:id="146" w:name="_Toc40178200"/>
      <w:bookmarkStart w:id="147" w:name="_Toc40186349"/>
      <w:bookmarkStart w:id="148" w:name="_Toc40186744"/>
      <w:bookmarkStart w:id="149" w:name="_Toc40215239"/>
      <w:bookmarkStart w:id="150" w:name="_Toc40215995"/>
      <w:bookmarkStart w:id="151" w:name="_Toc40216620"/>
      <w:bookmarkStart w:id="152" w:name="_Toc40217241"/>
      <w:bookmarkStart w:id="153" w:name="_Toc40217862"/>
      <w:bookmarkStart w:id="154" w:name="_Toc40245685"/>
      <w:bookmarkStart w:id="155" w:name="_Toc40246341"/>
      <w:bookmarkStart w:id="156" w:name="_Toc40246997"/>
      <w:bookmarkStart w:id="157" w:name="_Toc40247911"/>
      <w:bookmarkStart w:id="158" w:name="_Toc40248437"/>
      <w:bookmarkStart w:id="159" w:name="_Toc40249557"/>
      <w:bookmarkStart w:id="160" w:name="_Toc40251325"/>
      <w:bookmarkStart w:id="161" w:name="_Toc40256434"/>
      <w:bookmarkStart w:id="162" w:name="_Toc40178201"/>
      <w:bookmarkStart w:id="163" w:name="_Toc40186350"/>
      <w:bookmarkStart w:id="164" w:name="_Toc40186745"/>
      <w:bookmarkStart w:id="165" w:name="_Toc40215240"/>
      <w:bookmarkStart w:id="166" w:name="_Toc40215996"/>
      <w:bookmarkStart w:id="167" w:name="_Toc40216621"/>
      <w:bookmarkStart w:id="168" w:name="_Toc40217242"/>
      <w:bookmarkStart w:id="169" w:name="_Toc40217863"/>
      <w:bookmarkStart w:id="170" w:name="_Toc40245686"/>
      <w:bookmarkStart w:id="171" w:name="_Toc40246342"/>
      <w:bookmarkStart w:id="172" w:name="_Toc40246998"/>
      <w:bookmarkStart w:id="173" w:name="_Toc40247912"/>
      <w:bookmarkStart w:id="174" w:name="_Toc40248438"/>
      <w:bookmarkStart w:id="175" w:name="_Toc40249558"/>
      <w:bookmarkStart w:id="176" w:name="_Toc40251326"/>
      <w:bookmarkStart w:id="177" w:name="_Toc40256435"/>
      <w:bookmarkStart w:id="178" w:name="_Toc40178202"/>
      <w:bookmarkStart w:id="179" w:name="_Toc40186351"/>
      <w:bookmarkStart w:id="180" w:name="_Toc40186746"/>
      <w:bookmarkStart w:id="181" w:name="_Toc40215241"/>
      <w:bookmarkStart w:id="182" w:name="_Toc40215997"/>
      <w:bookmarkStart w:id="183" w:name="_Toc40216622"/>
      <w:bookmarkStart w:id="184" w:name="_Toc40217243"/>
      <w:bookmarkStart w:id="185" w:name="_Toc40217864"/>
      <w:bookmarkStart w:id="186" w:name="_Toc40245687"/>
      <w:bookmarkStart w:id="187" w:name="_Toc40246343"/>
      <w:bookmarkStart w:id="188" w:name="_Toc40246999"/>
      <w:bookmarkStart w:id="189" w:name="_Toc40247913"/>
      <w:bookmarkStart w:id="190" w:name="_Toc40248439"/>
      <w:bookmarkStart w:id="191" w:name="_Toc40249559"/>
      <w:bookmarkStart w:id="192" w:name="_Toc40251327"/>
      <w:bookmarkStart w:id="193" w:name="_Toc40256436"/>
      <w:bookmarkStart w:id="194" w:name="_Toc40178203"/>
      <w:bookmarkStart w:id="195" w:name="_Toc40186352"/>
      <w:bookmarkStart w:id="196" w:name="_Toc40186747"/>
      <w:bookmarkStart w:id="197" w:name="_Toc40215242"/>
      <w:bookmarkStart w:id="198" w:name="_Toc40215998"/>
      <w:bookmarkStart w:id="199" w:name="_Toc40216623"/>
      <w:bookmarkStart w:id="200" w:name="_Toc40217244"/>
      <w:bookmarkStart w:id="201" w:name="_Toc40217865"/>
      <w:bookmarkStart w:id="202" w:name="_Toc40245688"/>
      <w:bookmarkStart w:id="203" w:name="_Toc40246344"/>
      <w:bookmarkStart w:id="204" w:name="_Toc40247000"/>
      <w:bookmarkStart w:id="205" w:name="_Toc40247914"/>
      <w:bookmarkStart w:id="206" w:name="_Toc40248440"/>
      <w:bookmarkStart w:id="207" w:name="_Toc40249560"/>
      <w:bookmarkStart w:id="208" w:name="_Toc40251328"/>
      <w:bookmarkStart w:id="209" w:name="_Toc40256437"/>
      <w:bookmarkStart w:id="210" w:name="_Toc40178204"/>
      <w:bookmarkStart w:id="211" w:name="_Toc40186353"/>
      <w:bookmarkStart w:id="212" w:name="_Toc40186748"/>
      <w:bookmarkStart w:id="213" w:name="_Toc40215243"/>
      <w:bookmarkStart w:id="214" w:name="_Toc40215999"/>
      <w:bookmarkStart w:id="215" w:name="_Toc40216624"/>
      <w:bookmarkStart w:id="216" w:name="_Toc40217245"/>
      <w:bookmarkStart w:id="217" w:name="_Toc40217866"/>
      <w:bookmarkStart w:id="218" w:name="_Toc40245689"/>
      <w:bookmarkStart w:id="219" w:name="_Toc40246345"/>
      <w:bookmarkStart w:id="220" w:name="_Toc40247001"/>
      <w:bookmarkStart w:id="221" w:name="_Toc40247915"/>
      <w:bookmarkStart w:id="222" w:name="_Toc40248441"/>
      <w:bookmarkStart w:id="223" w:name="_Toc40249561"/>
      <w:bookmarkStart w:id="224" w:name="_Toc40251329"/>
      <w:bookmarkStart w:id="225" w:name="_Toc40256438"/>
      <w:bookmarkStart w:id="226" w:name="_Toc40178205"/>
      <w:bookmarkStart w:id="227" w:name="_Toc40186354"/>
      <w:bookmarkStart w:id="228" w:name="_Toc40186749"/>
      <w:bookmarkStart w:id="229" w:name="_Toc40215244"/>
      <w:bookmarkStart w:id="230" w:name="_Toc40216000"/>
      <w:bookmarkStart w:id="231" w:name="_Toc40216625"/>
      <w:bookmarkStart w:id="232" w:name="_Toc40217246"/>
      <w:bookmarkStart w:id="233" w:name="_Toc40217867"/>
      <w:bookmarkStart w:id="234" w:name="_Toc40245690"/>
      <w:bookmarkStart w:id="235" w:name="_Toc40246346"/>
      <w:bookmarkStart w:id="236" w:name="_Toc40247002"/>
      <w:bookmarkStart w:id="237" w:name="_Toc40247916"/>
      <w:bookmarkStart w:id="238" w:name="_Toc40248442"/>
      <w:bookmarkStart w:id="239" w:name="_Toc40249562"/>
      <w:bookmarkStart w:id="240" w:name="_Toc40251330"/>
      <w:bookmarkStart w:id="241" w:name="_Toc40256439"/>
      <w:bookmarkStart w:id="242" w:name="_Toc40178206"/>
      <w:bookmarkStart w:id="243" w:name="_Toc40186355"/>
      <w:bookmarkStart w:id="244" w:name="_Toc40186750"/>
      <w:bookmarkStart w:id="245" w:name="_Toc40215245"/>
      <w:bookmarkStart w:id="246" w:name="_Toc40216001"/>
      <w:bookmarkStart w:id="247" w:name="_Toc40216626"/>
      <w:bookmarkStart w:id="248" w:name="_Toc40217247"/>
      <w:bookmarkStart w:id="249" w:name="_Toc40217868"/>
      <w:bookmarkStart w:id="250" w:name="_Toc40245691"/>
      <w:bookmarkStart w:id="251" w:name="_Toc40246347"/>
      <w:bookmarkStart w:id="252" w:name="_Toc40247003"/>
      <w:bookmarkStart w:id="253" w:name="_Toc40247917"/>
      <w:bookmarkStart w:id="254" w:name="_Toc40248443"/>
      <w:bookmarkStart w:id="255" w:name="_Toc40249563"/>
      <w:bookmarkStart w:id="256" w:name="_Toc40251331"/>
      <w:bookmarkStart w:id="257" w:name="_Toc40256440"/>
      <w:bookmarkStart w:id="258" w:name="_Toc40178207"/>
      <w:bookmarkStart w:id="259" w:name="_Toc40186356"/>
      <w:bookmarkStart w:id="260" w:name="_Toc40186751"/>
      <w:bookmarkStart w:id="261" w:name="_Toc40215246"/>
      <w:bookmarkStart w:id="262" w:name="_Toc40216002"/>
      <w:bookmarkStart w:id="263" w:name="_Toc40216627"/>
      <w:bookmarkStart w:id="264" w:name="_Toc40217248"/>
      <w:bookmarkStart w:id="265" w:name="_Toc40217869"/>
      <w:bookmarkStart w:id="266" w:name="_Toc40245692"/>
      <w:bookmarkStart w:id="267" w:name="_Toc40246348"/>
      <w:bookmarkStart w:id="268" w:name="_Toc40247004"/>
      <w:bookmarkStart w:id="269" w:name="_Toc40247918"/>
      <w:bookmarkStart w:id="270" w:name="_Toc40248444"/>
      <w:bookmarkStart w:id="271" w:name="_Toc40249564"/>
      <w:bookmarkStart w:id="272" w:name="_Toc40251332"/>
      <w:bookmarkStart w:id="273" w:name="_Toc40256441"/>
      <w:bookmarkStart w:id="274" w:name="_Toc40178208"/>
      <w:bookmarkStart w:id="275" w:name="_Toc40186357"/>
      <w:bookmarkStart w:id="276" w:name="_Toc40186752"/>
      <w:bookmarkStart w:id="277" w:name="_Toc40215247"/>
      <w:bookmarkStart w:id="278" w:name="_Toc40216003"/>
      <w:bookmarkStart w:id="279" w:name="_Toc40216628"/>
      <w:bookmarkStart w:id="280" w:name="_Toc40217249"/>
      <w:bookmarkStart w:id="281" w:name="_Toc40217870"/>
      <w:bookmarkStart w:id="282" w:name="_Toc40245693"/>
      <w:bookmarkStart w:id="283" w:name="_Toc40246349"/>
      <w:bookmarkStart w:id="284" w:name="_Toc40247005"/>
      <w:bookmarkStart w:id="285" w:name="_Toc40247919"/>
      <w:bookmarkStart w:id="286" w:name="_Toc40248445"/>
      <w:bookmarkStart w:id="287" w:name="_Toc40249565"/>
      <w:bookmarkStart w:id="288" w:name="_Toc40251333"/>
      <w:bookmarkStart w:id="289" w:name="_Toc40256442"/>
      <w:bookmarkStart w:id="290" w:name="_Toc40178209"/>
      <w:bookmarkStart w:id="291" w:name="_Toc40186358"/>
      <w:bookmarkStart w:id="292" w:name="_Toc40186753"/>
      <w:bookmarkStart w:id="293" w:name="_Toc40215248"/>
      <w:bookmarkStart w:id="294" w:name="_Toc40216004"/>
      <w:bookmarkStart w:id="295" w:name="_Toc40216629"/>
      <w:bookmarkStart w:id="296" w:name="_Toc40217250"/>
      <w:bookmarkStart w:id="297" w:name="_Toc40217871"/>
      <w:bookmarkStart w:id="298" w:name="_Toc40245694"/>
      <w:bookmarkStart w:id="299" w:name="_Toc40246350"/>
      <w:bookmarkStart w:id="300" w:name="_Toc40247006"/>
      <w:bookmarkStart w:id="301" w:name="_Toc40247920"/>
      <w:bookmarkStart w:id="302" w:name="_Toc40248446"/>
      <w:bookmarkStart w:id="303" w:name="_Toc40249566"/>
      <w:bookmarkStart w:id="304" w:name="_Toc40251334"/>
      <w:bookmarkStart w:id="305" w:name="_Toc40256443"/>
      <w:bookmarkStart w:id="306" w:name="_Toc40178210"/>
      <w:bookmarkStart w:id="307" w:name="_Toc40186359"/>
      <w:bookmarkStart w:id="308" w:name="_Toc40186754"/>
      <w:bookmarkStart w:id="309" w:name="_Toc40215249"/>
      <w:bookmarkStart w:id="310" w:name="_Toc40216005"/>
      <w:bookmarkStart w:id="311" w:name="_Toc40216630"/>
      <w:bookmarkStart w:id="312" w:name="_Toc40217251"/>
      <w:bookmarkStart w:id="313" w:name="_Toc40217872"/>
      <w:bookmarkStart w:id="314" w:name="_Toc40245695"/>
      <w:bookmarkStart w:id="315" w:name="_Toc40246351"/>
      <w:bookmarkStart w:id="316" w:name="_Toc40247007"/>
      <w:bookmarkStart w:id="317" w:name="_Toc40247921"/>
      <w:bookmarkStart w:id="318" w:name="_Toc40248447"/>
      <w:bookmarkStart w:id="319" w:name="_Toc40249567"/>
      <w:bookmarkStart w:id="320" w:name="_Toc40251335"/>
      <w:bookmarkStart w:id="321" w:name="_Toc40256444"/>
      <w:bookmarkStart w:id="322" w:name="_Toc40178211"/>
      <w:bookmarkStart w:id="323" w:name="_Toc40186360"/>
      <w:bookmarkStart w:id="324" w:name="_Toc40186755"/>
      <w:bookmarkStart w:id="325" w:name="_Toc40215250"/>
      <w:bookmarkStart w:id="326" w:name="_Toc40216006"/>
      <w:bookmarkStart w:id="327" w:name="_Toc40216631"/>
      <w:bookmarkStart w:id="328" w:name="_Toc40217252"/>
      <w:bookmarkStart w:id="329" w:name="_Toc40217873"/>
      <w:bookmarkStart w:id="330" w:name="_Toc40245696"/>
      <w:bookmarkStart w:id="331" w:name="_Toc40246352"/>
      <w:bookmarkStart w:id="332" w:name="_Toc40247008"/>
      <w:bookmarkStart w:id="333" w:name="_Toc40247922"/>
      <w:bookmarkStart w:id="334" w:name="_Toc40248448"/>
      <w:bookmarkStart w:id="335" w:name="_Toc40249568"/>
      <w:bookmarkStart w:id="336" w:name="_Toc40251336"/>
      <w:bookmarkStart w:id="337" w:name="_Toc402564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br w:type="page"/>
      </w:r>
    </w:p>
    <w:p w14:paraId="1B63ABBF" w14:textId="27E5FAA7" w:rsidR="00CA322D" w:rsidRDefault="00CA322D" w:rsidP="008B2CA7">
      <w:pPr>
        <w:pStyle w:val="Heading1"/>
      </w:pPr>
      <w:bookmarkStart w:id="338" w:name="_Toc41325314"/>
      <w:bookmarkStart w:id="339" w:name="_Toc41332772"/>
      <w:bookmarkStart w:id="340" w:name="_Toc41411919"/>
      <w:bookmarkStart w:id="341" w:name="_Toc41651943"/>
      <w:r w:rsidRPr="004D34A4">
        <w:lastRenderedPageBreak/>
        <w:t>Consumer</w:t>
      </w:r>
      <w:r>
        <w:t xml:space="preserve"> </w:t>
      </w:r>
      <w:r w:rsidR="00CD5660">
        <w:t>l</w:t>
      </w:r>
      <w:r>
        <w:t>eadership</w:t>
      </w:r>
      <w:bookmarkEnd w:id="338"/>
      <w:bookmarkEnd w:id="339"/>
      <w:bookmarkEnd w:id="340"/>
      <w:bookmarkEnd w:id="341"/>
    </w:p>
    <w:p w14:paraId="5A53EB38" w14:textId="1CEB10D0" w:rsidR="00CD5660" w:rsidRDefault="00EE6BA0" w:rsidP="00CD5660">
      <w:pPr>
        <w:rPr>
          <w:lang w:eastAsia="en-AU"/>
        </w:rPr>
      </w:pPr>
      <w:r>
        <w:rPr>
          <w:lang w:eastAsia="en-AU"/>
        </w:rPr>
        <w:t xml:space="preserve">VLA supports embedding consumer leadership and </w:t>
      </w:r>
      <w:r w:rsidR="00DD66C4">
        <w:rPr>
          <w:lang w:eastAsia="en-AU"/>
        </w:rPr>
        <w:t xml:space="preserve">engagement </w:t>
      </w:r>
      <w:r>
        <w:rPr>
          <w:lang w:eastAsia="en-AU"/>
        </w:rPr>
        <w:t>as part of a righ</w:t>
      </w:r>
      <w:r w:rsidR="003A24D9">
        <w:rPr>
          <w:lang w:eastAsia="en-AU"/>
        </w:rPr>
        <w:t>t</w:t>
      </w:r>
      <w:r>
        <w:rPr>
          <w:lang w:eastAsia="en-AU"/>
        </w:rPr>
        <w:t>s-focused system.</w:t>
      </w:r>
      <w:r>
        <w:rPr>
          <w:rStyle w:val="FootnoteReference"/>
          <w:lang w:eastAsia="en-AU"/>
        </w:rPr>
        <w:footnoteReference w:id="4"/>
      </w:r>
      <w:r>
        <w:rPr>
          <w:lang w:eastAsia="en-AU"/>
        </w:rPr>
        <w:t xml:space="preserve"> </w:t>
      </w:r>
      <w:r w:rsidR="00CA322D" w:rsidRPr="4DC15F15">
        <w:rPr>
          <w:lang w:eastAsia="en-AU"/>
        </w:rPr>
        <w:t>Consumers</w:t>
      </w:r>
      <w:r w:rsidR="00CD5660">
        <w:rPr>
          <w:lang w:eastAsia="en-AU"/>
        </w:rPr>
        <w:t xml:space="preserve"> of mental health services are the people most directly affected b</w:t>
      </w:r>
      <w:r w:rsidR="00CA322D" w:rsidRPr="4DC15F15">
        <w:rPr>
          <w:lang w:eastAsia="en-AU"/>
        </w:rPr>
        <w:t xml:space="preserve">y mental health and </w:t>
      </w:r>
      <w:r w:rsidR="005E5F9E">
        <w:rPr>
          <w:lang w:eastAsia="en-AU"/>
        </w:rPr>
        <w:t>related</w:t>
      </w:r>
      <w:r w:rsidR="00CD5660" w:rsidRPr="4DC15F15">
        <w:rPr>
          <w:lang w:eastAsia="en-AU"/>
        </w:rPr>
        <w:t xml:space="preserve"> </w:t>
      </w:r>
      <w:r w:rsidR="00CA322D" w:rsidRPr="4DC15F15">
        <w:rPr>
          <w:lang w:eastAsia="en-AU"/>
        </w:rPr>
        <w:t xml:space="preserve">systems. </w:t>
      </w:r>
      <w:r w:rsidR="00CD5660">
        <w:rPr>
          <w:lang w:eastAsia="en-AU"/>
        </w:rPr>
        <w:t>The</w:t>
      </w:r>
      <w:r w:rsidR="00CA322D" w:rsidRPr="4DC15F15">
        <w:rPr>
          <w:lang w:eastAsia="en-AU"/>
        </w:rPr>
        <w:t xml:space="preserve"> needs and expertise </w:t>
      </w:r>
      <w:r w:rsidR="00CD5660">
        <w:rPr>
          <w:lang w:eastAsia="en-AU"/>
        </w:rPr>
        <w:t>of consumers must</w:t>
      </w:r>
      <w:r w:rsidR="00CA322D" w:rsidRPr="4DC15F15">
        <w:rPr>
          <w:lang w:eastAsia="en-AU"/>
        </w:rPr>
        <w:t xml:space="preserve"> drive the operation and reform of these systems</w:t>
      </w:r>
      <w:r w:rsidR="00CD5660">
        <w:rPr>
          <w:lang w:eastAsia="en-AU"/>
        </w:rPr>
        <w:t xml:space="preserve"> to ensure they are tailored, effective and responsive</w:t>
      </w:r>
      <w:r w:rsidR="00CA322D" w:rsidRPr="4DC15F15">
        <w:rPr>
          <w:lang w:eastAsia="en-AU"/>
        </w:rPr>
        <w:t xml:space="preserve">. Changes </w:t>
      </w:r>
      <w:r w:rsidR="001B2F09">
        <w:rPr>
          <w:lang w:eastAsia="en-AU"/>
        </w:rPr>
        <w:t>recommended</w:t>
      </w:r>
      <w:r w:rsidR="001B2F09" w:rsidRPr="4DC15F15">
        <w:rPr>
          <w:lang w:eastAsia="en-AU"/>
        </w:rPr>
        <w:t xml:space="preserve"> </w:t>
      </w:r>
      <w:r w:rsidR="00CA322D" w:rsidRPr="4DC15F15">
        <w:rPr>
          <w:lang w:eastAsia="en-AU"/>
        </w:rPr>
        <w:t>by the Royal Commission can only succeed with substantial lived experience workforces and embedded consumer engagement and leadership.</w:t>
      </w:r>
    </w:p>
    <w:p w14:paraId="4A2A2DF0" w14:textId="4BEB57E6" w:rsidR="00CA322D" w:rsidRDefault="00CD5660" w:rsidP="004F7C7B">
      <w:pPr>
        <w:rPr>
          <w:lang w:eastAsia="en-AU"/>
        </w:rPr>
      </w:pPr>
      <w:r>
        <w:t>C</w:t>
      </w:r>
      <w:r w:rsidR="00CA322D">
        <w:t>onsumer leadershi</w:t>
      </w:r>
      <w:r>
        <w:t xml:space="preserve">p is </w:t>
      </w:r>
      <w:r w:rsidR="00CA322D">
        <w:t>the leadership provided by consumers at a systemic level which privileges the voices of consumers so that they shape professional and organisational practice. It is based on emerging evidence that services designed, delivered and evaluated by the people who use them are more likely to achieve better outcomes and improve satisfaction.</w:t>
      </w:r>
      <w:r w:rsidR="009446CF">
        <w:rPr>
          <w:rStyle w:val="FootnoteReference"/>
        </w:rPr>
        <w:footnoteReference w:id="5"/>
      </w:r>
    </w:p>
    <w:p w14:paraId="4F31308B" w14:textId="77777777" w:rsidR="007E2FEB" w:rsidRDefault="007E2FEB">
      <w:pPr>
        <w:pStyle w:val="Heading2"/>
      </w:pPr>
      <w:bookmarkStart w:id="342" w:name="_Toc41651944"/>
      <w:r>
        <w:t xml:space="preserve">Consumer </w:t>
      </w:r>
      <w:r w:rsidRPr="00B974FA">
        <w:t>leadership</w:t>
      </w:r>
      <w:r>
        <w:t xml:space="preserve"> in mental health services</w:t>
      </w:r>
      <w:bookmarkEnd w:id="342"/>
    </w:p>
    <w:p w14:paraId="2D2034F7" w14:textId="48B5755E" w:rsidR="00CA322D" w:rsidRDefault="00CA322D" w:rsidP="00CA322D">
      <w:pPr>
        <w:rPr>
          <w:lang w:eastAsia="en-AU"/>
        </w:rPr>
      </w:pPr>
      <w:r w:rsidRPr="7A501A39">
        <w:rPr>
          <w:lang w:eastAsia="en-AU"/>
        </w:rPr>
        <w:t>VLA supports</w:t>
      </w:r>
      <w:r w:rsidR="00EE6BA0">
        <w:rPr>
          <w:lang w:eastAsia="en-AU"/>
        </w:rPr>
        <w:t xml:space="preserve"> the Royal Commission’s Interim Report</w:t>
      </w:r>
      <w:r w:rsidRPr="7A501A39">
        <w:rPr>
          <w:lang w:eastAsia="en-AU"/>
        </w:rPr>
        <w:t xml:space="preserve"> </w:t>
      </w:r>
      <w:r w:rsidR="00EE6BA0">
        <w:rPr>
          <w:lang w:eastAsia="en-AU"/>
        </w:rPr>
        <w:t>r</w:t>
      </w:r>
      <w:r w:rsidRPr="7A501A39">
        <w:rPr>
          <w:lang w:eastAsia="en-AU"/>
        </w:rPr>
        <w:t>ecommendation 5 to develop a lived experience led residential mental health service</w:t>
      </w:r>
      <w:r w:rsidR="00EE6BA0">
        <w:rPr>
          <w:lang w:eastAsia="en-AU"/>
        </w:rPr>
        <w:t>,</w:t>
      </w:r>
      <w:r w:rsidRPr="7A501A39">
        <w:rPr>
          <w:lang w:eastAsia="en-AU"/>
        </w:rPr>
        <w:t xml:space="preserve"> and</w:t>
      </w:r>
      <w:r w:rsidRPr="7A501A39">
        <w:rPr>
          <w:rFonts w:eastAsia="Arial" w:cs="Arial"/>
          <w:color w:val="000000" w:themeColor="text1"/>
          <w:sz w:val="21"/>
          <w:szCs w:val="21"/>
        </w:rPr>
        <w:t xml:space="preserve"> </w:t>
      </w:r>
      <w:r w:rsidR="00EE6BA0">
        <w:rPr>
          <w:rFonts w:eastAsia="Arial" w:cs="Arial"/>
          <w:color w:val="000000" w:themeColor="text1"/>
          <w:sz w:val="21"/>
          <w:szCs w:val="21"/>
        </w:rPr>
        <w:t>r</w:t>
      </w:r>
      <w:r w:rsidRPr="7A501A39">
        <w:rPr>
          <w:rFonts w:eastAsia="Arial" w:cs="Arial"/>
          <w:color w:val="000000" w:themeColor="text1"/>
          <w:sz w:val="21"/>
          <w:szCs w:val="21"/>
        </w:rPr>
        <w:t>ecommendation 6</w:t>
      </w:r>
      <w:r w:rsidRPr="7A501A39">
        <w:rPr>
          <w:lang w:eastAsia="en-AU"/>
        </w:rPr>
        <w:t xml:space="preserve"> to expand the lived experience workforce.</w:t>
      </w:r>
      <w:r w:rsidR="00EE6BA0">
        <w:rPr>
          <w:rStyle w:val="FootnoteReference"/>
          <w:lang w:eastAsia="en-AU"/>
        </w:rPr>
        <w:footnoteReference w:id="6"/>
      </w:r>
      <w:r w:rsidRPr="7A501A39">
        <w:rPr>
          <w:lang w:eastAsia="en-AU"/>
        </w:rPr>
        <w:t xml:space="preserve"> </w:t>
      </w:r>
      <w:r w:rsidR="00472AC3">
        <w:rPr>
          <w:lang w:eastAsia="en-AU"/>
        </w:rPr>
        <w:t>Effective implementation</w:t>
      </w:r>
      <w:r w:rsidR="00472AC3" w:rsidRPr="7A501A39">
        <w:rPr>
          <w:lang w:eastAsia="en-AU"/>
        </w:rPr>
        <w:t xml:space="preserve"> </w:t>
      </w:r>
      <w:r w:rsidRPr="7A501A39">
        <w:rPr>
          <w:lang w:eastAsia="en-AU"/>
        </w:rPr>
        <w:t xml:space="preserve">will require the development of organisational structures, capability frameworks and programs, as well as organisational readiness and accountability mechanisms. </w:t>
      </w:r>
      <w:r w:rsidR="00A725AC">
        <w:rPr>
          <w:lang w:eastAsia="en-AU"/>
        </w:rPr>
        <w:t>Implementing these recommendations</w:t>
      </w:r>
      <w:r w:rsidRPr="7A501A39">
        <w:rPr>
          <w:lang w:eastAsia="en-AU"/>
        </w:rPr>
        <w:t xml:space="preserve"> will also </w:t>
      </w:r>
      <w:r w:rsidR="00A725AC">
        <w:rPr>
          <w:lang w:eastAsia="en-AU"/>
        </w:rPr>
        <w:t>require</w:t>
      </w:r>
      <w:r w:rsidRPr="7A501A39">
        <w:rPr>
          <w:lang w:eastAsia="en-AU"/>
        </w:rPr>
        <w:t xml:space="preserve"> appropriate training that is co-produced and co-facilitated by consumers with relevant experience.</w:t>
      </w:r>
      <w:r w:rsidR="007B35EB">
        <w:rPr>
          <w:rStyle w:val="FootnoteReference"/>
          <w:lang w:eastAsia="en-AU"/>
        </w:rPr>
        <w:footnoteReference w:id="7"/>
      </w:r>
      <w:r w:rsidRPr="7A501A39">
        <w:rPr>
          <w:lang w:eastAsia="en-AU"/>
        </w:rPr>
        <w:t xml:space="preserve"> The lived experience workforce will </w:t>
      </w:r>
      <w:r>
        <w:rPr>
          <w:lang w:eastAsia="en-AU"/>
        </w:rPr>
        <w:t xml:space="preserve">also </w:t>
      </w:r>
      <w:r w:rsidRPr="7A501A39">
        <w:rPr>
          <w:lang w:eastAsia="en-AU"/>
        </w:rPr>
        <w:t xml:space="preserve">need </w:t>
      </w:r>
      <w:r>
        <w:rPr>
          <w:lang w:eastAsia="en-AU"/>
        </w:rPr>
        <w:t>t</w:t>
      </w:r>
      <w:r w:rsidRPr="7A501A39">
        <w:rPr>
          <w:lang w:eastAsia="en-AU"/>
        </w:rPr>
        <w:t xml:space="preserve">o be supported by training and </w:t>
      </w:r>
      <w:r>
        <w:rPr>
          <w:lang w:eastAsia="en-AU"/>
        </w:rPr>
        <w:t>discipline</w:t>
      </w:r>
      <w:r w:rsidR="001B2F09">
        <w:rPr>
          <w:lang w:eastAsia="en-AU"/>
        </w:rPr>
        <w:t>-</w:t>
      </w:r>
      <w:r>
        <w:rPr>
          <w:lang w:eastAsia="en-AU"/>
        </w:rPr>
        <w:t xml:space="preserve">specific </w:t>
      </w:r>
      <w:r w:rsidRPr="7A501A39">
        <w:rPr>
          <w:lang w:eastAsia="en-AU"/>
        </w:rPr>
        <w:t>supervision that enables a range of consumer leadership roles</w:t>
      </w:r>
      <w:r w:rsidR="001B2F09">
        <w:rPr>
          <w:lang w:eastAsia="en-AU"/>
        </w:rPr>
        <w:t xml:space="preserve"> to be filled</w:t>
      </w:r>
      <w:r>
        <w:rPr>
          <w:lang w:eastAsia="en-AU"/>
        </w:rPr>
        <w:t>.</w:t>
      </w:r>
    </w:p>
    <w:p w14:paraId="479CB3DC" w14:textId="1122D39E" w:rsidR="00CA322D" w:rsidRDefault="00CA322D" w:rsidP="00CA322D">
      <w:pPr>
        <w:rPr>
          <w:lang w:eastAsia="en-AU"/>
        </w:rPr>
      </w:pPr>
      <w:r w:rsidRPr="5913F744">
        <w:rPr>
          <w:lang w:eastAsia="en-AU"/>
        </w:rPr>
        <w:t>It is important that recommendations for consumer lived experience workforce promote and embed consumer leadership at all levels of the workforce.</w:t>
      </w:r>
      <w:r w:rsidR="0003289C">
        <w:rPr>
          <w:lang w:eastAsia="en-AU"/>
        </w:rPr>
        <w:t xml:space="preserve"> VLA’s non-legal advocacy services</w:t>
      </w:r>
      <w:r w:rsidRPr="5913F744">
        <w:rPr>
          <w:lang w:eastAsia="en-AU"/>
        </w:rPr>
        <w:t xml:space="preserve">, </w:t>
      </w:r>
      <w:r w:rsidR="00E72FC3">
        <w:rPr>
          <w:lang w:eastAsia="en-AU"/>
        </w:rPr>
        <w:t>Independent Mental Health Advocacy (</w:t>
      </w:r>
      <w:r w:rsidRPr="005D7656">
        <w:rPr>
          <w:b/>
          <w:lang w:eastAsia="en-AU"/>
        </w:rPr>
        <w:t>IMHA</w:t>
      </w:r>
      <w:r w:rsidR="00E72FC3">
        <w:rPr>
          <w:lang w:eastAsia="en-AU"/>
        </w:rPr>
        <w:t>)</w:t>
      </w:r>
      <w:r>
        <w:rPr>
          <w:rStyle w:val="FootnoteReference"/>
          <w:lang w:eastAsia="en-AU"/>
        </w:rPr>
        <w:footnoteReference w:id="8"/>
      </w:r>
      <w:r w:rsidRPr="5913F744">
        <w:rPr>
          <w:lang w:eastAsia="en-AU"/>
        </w:rPr>
        <w:t xml:space="preserve"> and </w:t>
      </w:r>
      <w:r w:rsidR="003B0CCD" w:rsidRPr="4ADB5253">
        <w:rPr>
          <w:lang w:eastAsia="en-AU"/>
        </w:rPr>
        <w:t>Independent Family Advocacy Service (</w:t>
      </w:r>
      <w:r w:rsidR="003B0CCD" w:rsidRPr="003B0CCD">
        <w:rPr>
          <w:b/>
          <w:bCs/>
          <w:lang w:eastAsia="en-AU"/>
        </w:rPr>
        <w:t>IFAS</w:t>
      </w:r>
      <w:r w:rsidR="003B0CCD" w:rsidRPr="4ADB5253">
        <w:rPr>
          <w:lang w:eastAsia="en-AU"/>
        </w:rPr>
        <w:t>)</w:t>
      </w:r>
      <w:r w:rsidR="00EE6BA0">
        <w:rPr>
          <w:lang w:eastAsia="en-AU"/>
        </w:rPr>
        <w:t>,</w:t>
      </w:r>
      <w:r w:rsidR="003B0CCD">
        <w:rPr>
          <w:rStyle w:val="FootnoteReference"/>
          <w:lang w:eastAsia="en-AU"/>
        </w:rPr>
        <w:footnoteReference w:id="9"/>
      </w:r>
      <w:r w:rsidR="003B0CCD">
        <w:rPr>
          <w:lang w:eastAsia="en-AU"/>
        </w:rPr>
        <w:t xml:space="preserve"> </w:t>
      </w:r>
      <w:r w:rsidRPr="5913F744">
        <w:rPr>
          <w:lang w:eastAsia="en-AU"/>
        </w:rPr>
        <w:t>embed consumer leadership through various initiatives, including advisory groups (Speaking from Experienc</w:t>
      </w:r>
      <w:r>
        <w:rPr>
          <w:lang w:eastAsia="en-AU"/>
        </w:rPr>
        <w:t>e</w:t>
      </w:r>
      <w:r w:rsidRPr="5913F744">
        <w:rPr>
          <w:lang w:eastAsia="en-AU"/>
        </w:rPr>
        <w:t xml:space="preserve"> and the Shared Experience and Support </w:t>
      </w:r>
      <w:r w:rsidR="00911B2C">
        <w:rPr>
          <w:lang w:eastAsia="en-AU"/>
        </w:rPr>
        <w:t>r</w:t>
      </w:r>
      <w:r w:rsidRPr="5913F744">
        <w:rPr>
          <w:lang w:eastAsia="en-AU"/>
        </w:rPr>
        <w:t xml:space="preserve">eference </w:t>
      </w:r>
      <w:r w:rsidR="00911B2C">
        <w:rPr>
          <w:lang w:eastAsia="en-AU"/>
        </w:rPr>
        <w:t>g</w:t>
      </w:r>
      <w:r w:rsidRPr="5913F744">
        <w:rPr>
          <w:lang w:eastAsia="en-AU"/>
        </w:rPr>
        <w:t>roup</w:t>
      </w:r>
      <w:r w:rsidR="0003289C">
        <w:rPr>
          <w:lang w:eastAsia="en-AU"/>
        </w:rPr>
        <w:t xml:space="preserve"> respectively</w:t>
      </w:r>
      <w:r w:rsidRPr="5913F744">
        <w:rPr>
          <w:lang w:eastAsia="en-AU"/>
        </w:rPr>
        <w:t>), and</w:t>
      </w:r>
      <w:r w:rsidR="00A725AC">
        <w:rPr>
          <w:lang w:eastAsia="en-AU"/>
        </w:rPr>
        <w:t xml:space="preserve"> designated lived experience</w:t>
      </w:r>
      <w:r w:rsidRPr="5913F744">
        <w:rPr>
          <w:lang w:eastAsia="en-AU"/>
        </w:rPr>
        <w:t xml:space="preserve"> leadership roles.</w:t>
      </w:r>
      <w:r w:rsidR="009446CF">
        <w:rPr>
          <w:lang w:eastAsia="en-AU"/>
        </w:rPr>
        <w:t xml:space="preserve"> </w:t>
      </w:r>
      <w:r w:rsidR="0003289C">
        <w:rPr>
          <w:lang w:eastAsia="en-AU"/>
        </w:rPr>
        <w:t xml:space="preserve">Although VLA is </w:t>
      </w:r>
      <w:r w:rsidR="00A725AC">
        <w:rPr>
          <w:lang w:eastAsia="en-AU"/>
        </w:rPr>
        <w:t>early in our</w:t>
      </w:r>
      <w:r w:rsidR="0003289C">
        <w:rPr>
          <w:lang w:eastAsia="en-AU"/>
        </w:rPr>
        <w:t xml:space="preserve"> journey to fully embedding consumer leadership</w:t>
      </w:r>
      <w:r w:rsidR="00A725AC">
        <w:rPr>
          <w:lang w:eastAsia="en-AU"/>
        </w:rPr>
        <w:t>,</w:t>
      </w:r>
      <w:r w:rsidR="0003289C">
        <w:rPr>
          <w:lang w:eastAsia="en-AU"/>
        </w:rPr>
        <w:t xml:space="preserve"> measures </w:t>
      </w:r>
      <w:r w:rsidR="00F63258">
        <w:rPr>
          <w:lang w:eastAsia="en-AU"/>
        </w:rPr>
        <w:t>such as</w:t>
      </w:r>
      <w:r w:rsidR="0003289C">
        <w:rPr>
          <w:lang w:eastAsia="en-AU"/>
        </w:rPr>
        <w:t xml:space="preserve"> including </w:t>
      </w:r>
      <w:r w:rsidR="0003289C" w:rsidRPr="5913F744">
        <w:rPr>
          <w:lang w:eastAsia="en-AU"/>
        </w:rPr>
        <w:t>lived experience members on</w:t>
      </w:r>
      <w:r w:rsidR="00A725AC">
        <w:rPr>
          <w:lang w:eastAsia="en-AU"/>
        </w:rPr>
        <w:t xml:space="preserve"> some</w:t>
      </w:r>
      <w:r w:rsidR="0003289C" w:rsidRPr="5913F744">
        <w:rPr>
          <w:lang w:eastAsia="en-AU"/>
        </w:rPr>
        <w:t xml:space="preserve"> organisational steering committees and working groups,</w:t>
      </w:r>
      <w:r w:rsidR="00A725AC">
        <w:rPr>
          <w:lang w:eastAsia="en-AU"/>
        </w:rPr>
        <w:t xml:space="preserve"> and </w:t>
      </w:r>
      <w:r w:rsidR="00A725AC" w:rsidRPr="5913F744">
        <w:rPr>
          <w:lang w:eastAsia="en-AU"/>
        </w:rPr>
        <w:t>lived experience members on interview panels</w:t>
      </w:r>
      <w:r w:rsidR="003D0BCA">
        <w:rPr>
          <w:lang w:eastAsia="en-AU"/>
        </w:rPr>
        <w:t>,</w:t>
      </w:r>
      <w:r w:rsidR="00A725AC">
        <w:rPr>
          <w:lang w:eastAsia="en-AU"/>
        </w:rPr>
        <w:t xml:space="preserve"> ha</w:t>
      </w:r>
      <w:r w:rsidR="00F63258">
        <w:rPr>
          <w:lang w:eastAsia="en-AU"/>
        </w:rPr>
        <w:t>ve</w:t>
      </w:r>
      <w:r w:rsidR="00A725AC">
        <w:rPr>
          <w:lang w:eastAsia="en-AU"/>
        </w:rPr>
        <w:t xml:space="preserve"> demonstrated the value of this leadership internally. The recent establishment</w:t>
      </w:r>
      <w:r w:rsidR="00A725AC" w:rsidRPr="5913F744">
        <w:rPr>
          <w:lang w:eastAsia="en-AU"/>
        </w:rPr>
        <w:t xml:space="preserve"> of our Client First </w:t>
      </w:r>
      <w:r w:rsidR="00A725AC" w:rsidRPr="5913F744">
        <w:rPr>
          <w:lang w:eastAsia="en-AU"/>
        </w:rPr>
        <w:lastRenderedPageBreak/>
        <w:t>Strategy</w:t>
      </w:r>
      <w:r w:rsidR="00A725AC">
        <w:rPr>
          <w:rStyle w:val="FootnoteReference"/>
          <w:lang w:eastAsia="en-AU"/>
        </w:rPr>
        <w:footnoteReference w:id="10"/>
      </w:r>
      <w:r w:rsidR="00A725AC">
        <w:rPr>
          <w:lang w:eastAsia="en-AU"/>
        </w:rPr>
        <w:t xml:space="preserve"> is an example of our commitment to strengthening </w:t>
      </w:r>
      <w:r w:rsidR="003C3F9F">
        <w:rPr>
          <w:lang w:eastAsia="en-AU"/>
        </w:rPr>
        <w:t>the role client and consumer voices play</w:t>
      </w:r>
      <w:r w:rsidR="00870832">
        <w:rPr>
          <w:lang w:eastAsia="en-AU"/>
        </w:rPr>
        <w:t xml:space="preserve"> within VLA</w:t>
      </w:r>
      <w:r w:rsidR="00A725AC">
        <w:rPr>
          <w:lang w:eastAsia="en-AU"/>
        </w:rPr>
        <w:t>.</w:t>
      </w:r>
    </w:p>
    <w:p w14:paraId="5C9A577A" w14:textId="233BD5CA" w:rsidR="00FA4C18" w:rsidRDefault="00CA322D" w:rsidP="00CA322D">
      <w:r w:rsidRPr="21EEC30D">
        <w:rPr>
          <w:lang w:eastAsia="en-AU"/>
        </w:rPr>
        <w:t>Our</w:t>
      </w:r>
      <w:r w:rsidRPr="3CC88682">
        <w:rPr>
          <w:lang w:eastAsia="en-AU"/>
        </w:rPr>
        <w:t xml:space="preserve"> practice experience has </w:t>
      </w:r>
      <w:r w:rsidR="00865B76">
        <w:rPr>
          <w:lang w:eastAsia="en-AU"/>
        </w:rPr>
        <w:t>observed</w:t>
      </w:r>
      <w:r w:rsidRPr="3CC88682">
        <w:rPr>
          <w:lang w:eastAsia="en-AU"/>
        </w:rPr>
        <w:t xml:space="preserve"> significant variability in the uptake and support of consumer leadership </w:t>
      </w:r>
      <w:r w:rsidR="00C25D5F">
        <w:rPr>
          <w:lang w:eastAsia="en-AU"/>
        </w:rPr>
        <w:t>within</w:t>
      </w:r>
      <w:r w:rsidR="00C25D5F" w:rsidRPr="3CC88682">
        <w:rPr>
          <w:lang w:eastAsia="en-AU"/>
        </w:rPr>
        <w:t xml:space="preserve"> </w:t>
      </w:r>
      <w:r w:rsidRPr="3CC88682">
        <w:rPr>
          <w:lang w:eastAsia="en-AU"/>
        </w:rPr>
        <w:t>mental health services.</w:t>
      </w:r>
      <w:r w:rsidRPr="4DC15F15">
        <w:rPr>
          <w:rStyle w:val="FootnoteReference"/>
          <w:lang w:eastAsia="en-AU"/>
        </w:rPr>
        <w:footnoteReference w:id="11"/>
      </w:r>
      <w:r w:rsidRPr="3CC88682">
        <w:rPr>
          <w:lang w:eastAsia="en-AU"/>
        </w:rPr>
        <w:t xml:space="preserve"> </w:t>
      </w:r>
      <w:r w:rsidRPr="00A725AC">
        <w:rPr>
          <w:lang w:eastAsia="en-AU"/>
        </w:rPr>
        <w:t xml:space="preserve">This </w:t>
      </w:r>
      <w:r w:rsidR="00D90697" w:rsidRPr="00A725AC">
        <w:rPr>
          <w:lang w:eastAsia="en-AU"/>
        </w:rPr>
        <w:t>variability</w:t>
      </w:r>
      <w:r w:rsidR="00A725AC" w:rsidRPr="00A725AC">
        <w:rPr>
          <w:lang w:eastAsia="en-AU"/>
        </w:rPr>
        <w:t xml:space="preserve"> in practice</w:t>
      </w:r>
      <w:r w:rsidR="00D90697" w:rsidRPr="00A725AC">
        <w:rPr>
          <w:lang w:eastAsia="en-AU"/>
        </w:rPr>
        <w:t xml:space="preserve"> </w:t>
      </w:r>
      <w:r w:rsidRPr="00A725AC">
        <w:rPr>
          <w:lang w:eastAsia="en-AU"/>
        </w:rPr>
        <w:t>highlights the need for improved reporting and oversight mechanisms for services funded to have these roles</w:t>
      </w:r>
      <w:r w:rsidR="00EE6BA0">
        <w:rPr>
          <w:lang w:eastAsia="en-AU"/>
        </w:rPr>
        <w:t>,</w:t>
      </w:r>
      <w:r w:rsidRPr="00A725AC">
        <w:rPr>
          <w:lang w:eastAsia="en-AU"/>
        </w:rPr>
        <w:t xml:space="preserve"> and increased support for consumer leadership roles and processes by government.</w:t>
      </w:r>
      <w:r w:rsidRPr="4DC15F15">
        <w:rPr>
          <w:lang w:eastAsia="en-AU"/>
        </w:rPr>
        <w:t xml:space="preserve"> Without these mechanisms</w:t>
      </w:r>
      <w:r w:rsidR="00D90697">
        <w:rPr>
          <w:lang w:eastAsia="en-AU"/>
        </w:rPr>
        <w:t xml:space="preserve"> in place</w:t>
      </w:r>
      <w:r w:rsidRPr="4DC15F15">
        <w:rPr>
          <w:lang w:eastAsia="en-AU"/>
        </w:rPr>
        <w:t>,</w:t>
      </w:r>
      <w:r w:rsidR="00112852">
        <w:rPr>
          <w:lang w:eastAsia="en-AU"/>
        </w:rPr>
        <w:t xml:space="preserve"> consumer leadership roles intended to have</w:t>
      </w:r>
      <w:r w:rsidRPr="3CC88682">
        <w:rPr>
          <w:lang w:eastAsia="en-AU"/>
        </w:rPr>
        <w:t xml:space="preserve"> internal systemic, quality improvement and safeguarding </w:t>
      </w:r>
      <w:r w:rsidR="00112852">
        <w:rPr>
          <w:lang w:eastAsia="en-AU"/>
        </w:rPr>
        <w:t>functions</w:t>
      </w:r>
      <w:r w:rsidRPr="3CC88682">
        <w:rPr>
          <w:lang w:eastAsia="en-AU"/>
        </w:rPr>
        <w:t xml:space="preserve"> risk isolation, </w:t>
      </w:r>
      <w:r w:rsidRPr="21EEC30D">
        <w:rPr>
          <w:lang w:eastAsia="en-AU"/>
        </w:rPr>
        <w:t>co-option</w:t>
      </w:r>
      <w:r w:rsidR="00865B76">
        <w:rPr>
          <w:lang w:eastAsia="en-AU"/>
        </w:rPr>
        <w:t xml:space="preserve"> and becoming ineffective</w:t>
      </w:r>
      <w:r w:rsidRPr="3CC88682">
        <w:rPr>
          <w:lang w:eastAsia="en-AU"/>
        </w:rPr>
        <w:t>.</w:t>
      </w:r>
      <w:r w:rsidRPr="4DC15F15">
        <w:rPr>
          <w:rStyle w:val="FootnoteReference"/>
          <w:lang w:eastAsia="en-AU"/>
        </w:rPr>
        <w:footnoteReference w:id="12"/>
      </w:r>
      <w:r w:rsidRPr="21EEC30D">
        <w:rPr>
          <w:lang w:eastAsia="en-AU"/>
        </w:rPr>
        <w:t xml:space="preserve"> Guidance </w:t>
      </w:r>
      <w:r w:rsidR="0000514A">
        <w:rPr>
          <w:lang w:eastAsia="en-AU"/>
        </w:rPr>
        <w:t>should</w:t>
      </w:r>
      <w:r w:rsidRPr="21EEC30D">
        <w:rPr>
          <w:lang w:eastAsia="en-AU"/>
        </w:rPr>
        <w:t xml:space="preserve"> be developed to support mental health services </w:t>
      </w:r>
      <w:r w:rsidR="00EE6BA0">
        <w:rPr>
          <w:lang w:eastAsia="en-AU"/>
        </w:rPr>
        <w:t xml:space="preserve">to embed consumer leadership and advocacy (e.g. how to establish, consult with, and implement recommendations from </w:t>
      </w:r>
      <w:r w:rsidR="00EE6BA0" w:rsidRPr="21EEC30D">
        <w:rPr>
          <w:lang w:eastAsia="en-AU"/>
        </w:rPr>
        <w:t>Community Advisory Committees</w:t>
      </w:r>
      <w:r w:rsidR="00EE6BA0">
        <w:rPr>
          <w:lang w:eastAsia="en-AU"/>
        </w:rPr>
        <w:t>)</w:t>
      </w:r>
      <w:r w:rsidRPr="21EEC30D">
        <w:rPr>
          <w:lang w:eastAsia="en-AU"/>
        </w:rPr>
        <w:t>.</w:t>
      </w:r>
      <w:r>
        <w:rPr>
          <w:rStyle w:val="FootnoteReference"/>
          <w:lang w:eastAsia="en-AU"/>
        </w:rPr>
        <w:footnoteReference w:id="13"/>
      </w:r>
      <w:r w:rsidR="00A539FF">
        <w:rPr>
          <w:lang w:eastAsia="en-AU"/>
        </w:rPr>
        <w:t xml:space="preserve"> Lived experience roles should be</w:t>
      </w:r>
      <w:r w:rsidR="007419C2">
        <w:rPr>
          <w:lang w:eastAsia="en-AU"/>
        </w:rPr>
        <w:t xml:space="preserve"> </w:t>
      </w:r>
      <w:r w:rsidR="009A7044">
        <w:rPr>
          <w:lang w:eastAsia="en-AU"/>
        </w:rPr>
        <w:t>recruited</w:t>
      </w:r>
      <w:r w:rsidR="00A539FF">
        <w:rPr>
          <w:lang w:eastAsia="en-AU"/>
        </w:rPr>
        <w:t xml:space="preserve"> at all levels to reflect the va</w:t>
      </w:r>
      <w:r w:rsidR="0092506B">
        <w:rPr>
          <w:lang w:eastAsia="en-AU"/>
        </w:rPr>
        <w:t xml:space="preserve">ried roles consumers can take on, particularly at a senior level where </w:t>
      </w:r>
      <w:r w:rsidR="00E0477E">
        <w:rPr>
          <w:lang w:eastAsia="en-AU"/>
        </w:rPr>
        <w:t>consumers have a greater opportunity to influence decision-making.</w:t>
      </w:r>
    </w:p>
    <w:p w14:paraId="7F0B3753" w14:textId="52225CD6" w:rsidR="007F775D" w:rsidRDefault="00FA4C18" w:rsidP="00CA322D">
      <w:r>
        <w:t xml:space="preserve">In implementing the Royal Commission’s recommendations, we encourage Mental Health Reform Victoria to build on the knowledge and expertise </w:t>
      </w:r>
      <w:r w:rsidR="001A1ABE">
        <w:t xml:space="preserve">reflected </w:t>
      </w:r>
      <w:r w:rsidR="3975052F">
        <w:t>by</w:t>
      </w:r>
      <w:r>
        <w:t xml:space="preserve"> organisations who have effectively built in consumer leadership and advocacy, as assessed by coproduced evaluations.</w:t>
      </w:r>
      <w:r>
        <w:rPr>
          <w:rStyle w:val="FootnoteReference"/>
        </w:rPr>
        <w:footnoteReference w:id="14"/>
      </w:r>
    </w:p>
    <w:p w14:paraId="422E6086" w14:textId="6E50D13C" w:rsidR="0048644D" w:rsidRPr="00044161" w:rsidRDefault="00044161" w:rsidP="00E96257">
      <w:pPr>
        <w:shd w:val="clear" w:color="auto" w:fill="DEEAF6" w:themeFill="accent5" w:themeFillTint="33"/>
        <w:spacing w:line="276" w:lineRule="auto"/>
        <w:ind w:left="3119" w:hanging="2693"/>
      </w:pPr>
      <w:bookmarkStart w:id="343" w:name="_Toc40355724"/>
      <w:bookmarkStart w:id="344" w:name="_Toc41325315"/>
      <w:bookmarkStart w:id="345" w:name="_Toc41332773"/>
      <w:bookmarkStart w:id="346" w:name="_Toc41411920"/>
      <w:r w:rsidRPr="00044161">
        <w:rPr>
          <w:b/>
          <w:bCs/>
        </w:rPr>
        <w:t xml:space="preserve">Recommendation 1: </w:t>
      </w:r>
      <w:r w:rsidR="001028B6">
        <w:rPr>
          <w:b/>
          <w:bCs/>
        </w:rPr>
        <w:tab/>
      </w:r>
      <w:r w:rsidR="00FA4C18" w:rsidRPr="00044161">
        <w:rPr>
          <w:b/>
          <w:bCs/>
        </w:rPr>
        <w:t>Embed</w:t>
      </w:r>
      <w:r w:rsidR="0048644D" w:rsidRPr="00044161">
        <w:rPr>
          <w:b/>
          <w:bCs/>
        </w:rPr>
        <w:t xml:space="preserve"> consumer leadership </w:t>
      </w:r>
      <w:r w:rsidR="00FA4C18" w:rsidRPr="00044161">
        <w:rPr>
          <w:b/>
          <w:bCs/>
        </w:rPr>
        <w:t>in mental health services</w:t>
      </w:r>
      <w:bookmarkEnd w:id="343"/>
      <w:bookmarkEnd w:id="344"/>
      <w:bookmarkEnd w:id="345"/>
      <w:bookmarkEnd w:id="346"/>
    </w:p>
    <w:p w14:paraId="7594A7EA" w14:textId="27A8E6CA" w:rsidR="0048644D" w:rsidRPr="00044161" w:rsidRDefault="00FA4C18" w:rsidP="00E96257">
      <w:pPr>
        <w:shd w:val="clear" w:color="auto" w:fill="DEEAF6" w:themeFill="accent5" w:themeFillTint="33"/>
        <w:spacing w:line="276" w:lineRule="auto"/>
        <w:ind w:left="426"/>
      </w:pPr>
      <w:r w:rsidRPr="00044161">
        <w:t xml:space="preserve">The Department of Health and Human Services should </w:t>
      </w:r>
      <w:proofErr w:type="gramStart"/>
      <w:r w:rsidRPr="00044161">
        <w:t>require</w:t>
      </w:r>
      <w:proofErr w:type="gramEnd"/>
      <w:r w:rsidRPr="00044161">
        <w:t xml:space="preserve"> and</w:t>
      </w:r>
      <w:r w:rsidR="007F332A" w:rsidRPr="00044161">
        <w:t xml:space="preserve"> fund</w:t>
      </w:r>
      <w:r w:rsidRPr="00044161">
        <w:t xml:space="preserve"> a</w:t>
      </w:r>
      <w:r w:rsidR="0048644D" w:rsidRPr="00044161">
        <w:t>ll designated mental</w:t>
      </w:r>
      <w:r w:rsidR="000B340E">
        <w:t xml:space="preserve"> </w:t>
      </w:r>
      <w:r w:rsidR="0048644D" w:rsidRPr="00044161">
        <w:t xml:space="preserve">health services </w:t>
      </w:r>
      <w:r w:rsidRPr="00044161">
        <w:t xml:space="preserve">to </w:t>
      </w:r>
      <w:r w:rsidR="00704862" w:rsidRPr="00044161">
        <w:t xml:space="preserve">implement the </w:t>
      </w:r>
      <w:r w:rsidR="00376B78" w:rsidRPr="00044161">
        <w:t>‘</w:t>
      </w:r>
      <w:r w:rsidR="00704862" w:rsidRPr="00044161">
        <w:t>Strategy</w:t>
      </w:r>
      <w:r w:rsidR="0018386B" w:rsidRPr="00044161">
        <w:t xml:space="preserve"> for the </w:t>
      </w:r>
      <w:r w:rsidR="00376B78" w:rsidRPr="00044161">
        <w:t>c</w:t>
      </w:r>
      <w:r w:rsidR="0018386B" w:rsidRPr="00044161">
        <w:t xml:space="preserve">onsumer mental health </w:t>
      </w:r>
      <w:r w:rsidR="00376B78" w:rsidRPr="00044161">
        <w:t>workforce in Vic</w:t>
      </w:r>
      <w:r w:rsidR="00B17BBE" w:rsidRPr="00044161">
        <w:t>toria</w:t>
      </w:r>
      <w:r w:rsidR="00376B78" w:rsidRPr="00044161">
        <w:t>’</w:t>
      </w:r>
      <w:r w:rsidR="008134C9" w:rsidRPr="00E96257">
        <w:footnoteReference w:id="15"/>
      </w:r>
      <w:r w:rsidR="00334791" w:rsidRPr="00044161">
        <w:t xml:space="preserve"> and embed Consumer Advisory Groups within their governance, oversight and quality improvement</w:t>
      </w:r>
      <w:r w:rsidR="00EA5AAC" w:rsidRPr="00044161">
        <w:t xml:space="preserve"> structures</w:t>
      </w:r>
      <w:r w:rsidR="00334791" w:rsidRPr="00044161">
        <w:t>.</w:t>
      </w:r>
    </w:p>
    <w:p w14:paraId="76FC62F9" w14:textId="61D0D334" w:rsidR="0048644D" w:rsidRPr="00E96257" w:rsidRDefault="00FA4C18" w:rsidP="00E96257">
      <w:pPr>
        <w:shd w:val="clear" w:color="auto" w:fill="DEEAF6" w:themeFill="accent5" w:themeFillTint="33"/>
        <w:spacing w:line="276" w:lineRule="auto"/>
        <w:ind w:left="426"/>
      </w:pPr>
      <w:r w:rsidRPr="00044161">
        <w:t>Mental Health Reform Victoria should oversee t</w:t>
      </w:r>
      <w:r w:rsidR="0048644D" w:rsidRPr="00044161">
        <w:t xml:space="preserve">he implementation of </w:t>
      </w:r>
      <w:r w:rsidR="00334791" w:rsidRPr="00044161">
        <w:t xml:space="preserve">consumer </w:t>
      </w:r>
      <w:r w:rsidR="0048644D" w:rsidRPr="00044161">
        <w:t>roles and the mechanisms to support them</w:t>
      </w:r>
      <w:r w:rsidR="00F960EC" w:rsidRPr="00044161">
        <w:t xml:space="preserve">, </w:t>
      </w:r>
      <w:r w:rsidR="00334791" w:rsidRPr="00044161">
        <w:t xml:space="preserve">in partnership with current consumer leaders and peak bodies, </w:t>
      </w:r>
      <w:r w:rsidR="00E72B87" w:rsidRPr="00044161">
        <w:t xml:space="preserve">ensuring </w:t>
      </w:r>
      <w:r w:rsidR="00EE46D6" w:rsidRPr="00044161">
        <w:t xml:space="preserve">the diversity of the consumer workforce reflects the diversity of consumers </w:t>
      </w:r>
      <w:r w:rsidR="00FE744D" w:rsidRPr="00044161">
        <w:t>eligible for</w:t>
      </w:r>
      <w:r w:rsidR="00EE46D6" w:rsidRPr="00044161">
        <w:t xml:space="preserve"> the service</w:t>
      </w:r>
      <w:r w:rsidR="0048644D" w:rsidRPr="00044161">
        <w:t>.</w:t>
      </w:r>
    </w:p>
    <w:p w14:paraId="415D093B" w14:textId="2D77EA2D" w:rsidR="00761B46" w:rsidRPr="00044161" w:rsidRDefault="00044161" w:rsidP="00E96257">
      <w:pPr>
        <w:shd w:val="clear" w:color="auto" w:fill="DEEAF6" w:themeFill="accent5" w:themeFillTint="33"/>
        <w:spacing w:line="276" w:lineRule="auto"/>
        <w:ind w:left="3119" w:hanging="2693"/>
      </w:pPr>
      <w:bookmarkStart w:id="347" w:name="_Toc40355726"/>
      <w:bookmarkStart w:id="348" w:name="_Toc41325319"/>
      <w:bookmarkStart w:id="349" w:name="_Toc41332775"/>
      <w:bookmarkStart w:id="350" w:name="_Toc41411924"/>
      <w:r w:rsidRPr="00044161">
        <w:rPr>
          <w:b/>
          <w:bCs/>
        </w:rPr>
        <w:t xml:space="preserve">Recommendation 2: </w:t>
      </w:r>
      <w:r w:rsidR="001028B6">
        <w:rPr>
          <w:b/>
          <w:bCs/>
        </w:rPr>
        <w:tab/>
      </w:r>
      <w:r w:rsidR="00935819" w:rsidRPr="00044161">
        <w:rPr>
          <w:b/>
          <w:bCs/>
        </w:rPr>
        <w:t>Require c</w:t>
      </w:r>
      <w:r w:rsidR="00761B46" w:rsidRPr="00044161">
        <w:rPr>
          <w:b/>
          <w:bCs/>
        </w:rPr>
        <w:t xml:space="preserve">o-production </w:t>
      </w:r>
      <w:r w:rsidR="007F332A" w:rsidRPr="00044161">
        <w:rPr>
          <w:b/>
          <w:bCs/>
        </w:rPr>
        <w:t>o</w:t>
      </w:r>
      <w:r w:rsidR="00761B46" w:rsidRPr="00044161">
        <w:rPr>
          <w:b/>
          <w:bCs/>
        </w:rPr>
        <w:t xml:space="preserve">f </w:t>
      </w:r>
      <w:r w:rsidR="00DB7C33" w:rsidRPr="00044161">
        <w:rPr>
          <w:b/>
          <w:bCs/>
        </w:rPr>
        <w:t xml:space="preserve">Royal Commission </w:t>
      </w:r>
      <w:r w:rsidR="00761B46" w:rsidRPr="00044161">
        <w:rPr>
          <w:b/>
          <w:bCs/>
        </w:rPr>
        <w:t>report recommendations</w:t>
      </w:r>
      <w:bookmarkEnd w:id="347"/>
      <w:bookmarkEnd w:id="348"/>
      <w:bookmarkEnd w:id="349"/>
      <w:bookmarkEnd w:id="350"/>
    </w:p>
    <w:p w14:paraId="217D5F42" w14:textId="5D530646" w:rsidR="007F332A" w:rsidRDefault="00761B46" w:rsidP="00E96257">
      <w:pPr>
        <w:shd w:val="clear" w:color="auto" w:fill="DEEAF6" w:themeFill="accent5" w:themeFillTint="33"/>
        <w:spacing w:line="276" w:lineRule="auto"/>
        <w:ind w:left="426"/>
      </w:pPr>
      <w:r w:rsidRPr="00044161">
        <w:t xml:space="preserve">The </w:t>
      </w:r>
      <w:r w:rsidR="00A52C3E" w:rsidRPr="00044161">
        <w:t>Victorian Government</w:t>
      </w:r>
      <w:r w:rsidRPr="00044161">
        <w:t xml:space="preserve"> and Mental Health Reform Victoria should ensure that </w:t>
      </w:r>
      <w:r w:rsidR="00044161">
        <w:t>I</w:t>
      </w:r>
      <w:r w:rsidRPr="00044161">
        <w:t xml:space="preserve">mplementation of all recommendations made in the </w:t>
      </w:r>
      <w:r w:rsidR="00A52C3E" w:rsidRPr="00044161">
        <w:t>Royal Commission</w:t>
      </w:r>
      <w:r w:rsidRPr="00044161">
        <w:t xml:space="preserve"> interim </w:t>
      </w:r>
      <w:r w:rsidR="009F1A6D" w:rsidRPr="00044161">
        <w:t>and</w:t>
      </w:r>
      <w:r w:rsidRPr="00044161">
        <w:t xml:space="preserve"> </w:t>
      </w:r>
      <w:r w:rsidR="00CF6FE8" w:rsidRPr="00044161">
        <w:t xml:space="preserve">final </w:t>
      </w:r>
      <w:r w:rsidR="00044161">
        <w:t>r</w:t>
      </w:r>
      <w:r w:rsidRPr="00044161">
        <w:t>eport</w:t>
      </w:r>
      <w:r w:rsidR="009F1A6D" w:rsidRPr="00044161">
        <w:t>s</w:t>
      </w:r>
      <w:r w:rsidRPr="00044161">
        <w:t xml:space="preserve"> </w:t>
      </w:r>
      <w:r w:rsidR="007E5163" w:rsidRPr="00044161">
        <w:t>is</w:t>
      </w:r>
      <w:r w:rsidRPr="00044161">
        <w:t xml:space="preserve"> co-produced with consumers</w:t>
      </w:r>
      <w:r>
        <w:t>.</w:t>
      </w:r>
    </w:p>
    <w:p w14:paraId="5CE83F1C" w14:textId="77777777" w:rsidR="007E2FEB" w:rsidRDefault="007E2FEB">
      <w:pPr>
        <w:pStyle w:val="Heading2"/>
      </w:pPr>
      <w:bookmarkStart w:id="351" w:name="_Toc40215253"/>
      <w:bookmarkStart w:id="352" w:name="_Toc40216009"/>
      <w:bookmarkStart w:id="353" w:name="_Toc40216634"/>
      <w:bookmarkStart w:id="354" w:name="_Toc40217255"/>
      <w:bookmarkStart w:id="355" w:name="_Toc40217876"/>
      <w:bookmarkStart w:id="356" w:name="_Toc40245699"/>
      <w:bookmarkStart w:id="357" w:name="_Toc40246355"/>
      <w:bookmarkStart w:id="358" w:name="_Toc40247011"/>
      <w:bookmarkStart w:id="359" w:name="_Toc40247925"/>
      <w:bookmarkStart w:id="360" w:name="_Toc40248451"/>
      <w:bookmarkStart w:id="361" w:name="_Toc40249571"/>
      <w:bookmarkStart w:id="362" w:name="_Toc40251339"/>
      <w:bookmarkStart w:id="363" w:name="_Toc40256448"/>
      <w:bookmarkStart w:id="364" w:name="_Toc41651945"/>
      <w:bookmarkEnd w:id="351"/>
      <w:bookmarkEnd w:id="352"/>
      <w:bookmarkEnd w:id="353"/>
      <w:bookmarkEnd w:id="354"/>
      <w:bookmarkEnd w:id="355"/>
      <w:bookmarkEnd w:id="356"/>
      <w:bookmarkEnd w:id="357"/>
      <w:bookmarkEnd w:id="358"/>
      <w:bookmarkEnd w:id="359"/>
      <w:bookmarkEnd w:id="360"/>
      <w:bookmarkEnd w:id="361"/>
      <w:bookmarkEnd w:id="362"/>
      <w:bookmarkEnd w:id="363"/>
      <w:r>
        <w:lastRenderedPageBreak/>
        <w:t>Consumer leadership in intersecting systems and services</w:t>
      </w:r>
      <w:bookmarkEnd w:id="364"/>
    </w:p>
    <w:p w14:paraId="5181228C" w14:textId="220F0364" w:rsidR="009C42C6" w:rsidRDefault="00CA322D" w:rsidP="00E02D7B">
      <w:r w:rsidRPr="4ADB5253">
        <w:rPr>
          <w:lang w:eastAsia="en-AU"/>
        </w:rPr>
        <w:t xml:space="preserve">Consumer leadership is also required in </w:t>
      </w:r>
      <w:r w:rsidR="003D7A7E">
        <w:rPr>
          <w:lang w:eastAsia="en-AU"/>
        </w:rPr>
        <w:t>sectors</w:t>
      </w:r>
      <w:r w:rsidRPr="4ADB5253">
        <w:rPr>
          <w:lang w:eastAsia="en-AU"/>
        </w:rPr>
        <w:t xml:space="preserve"> that interact with the mental health </w:t>
      </w:r>
      <w:r w:rsidR="003D7A7E">
        <w:rPr>
          <w:lang w:eastAsia="en-AU"/>
        </w:rPr>
        <w:t>system, which often have</w:t>
      </w:r>
      <w:r w:rsidR="00FA4C18">
        <w:rPr>
          <w:lang w:eastAsia="en-AU"/>
        </w:rPr>
        <w:t xml:space="preserve"> lower levels of</w:t>
      </w:r>
      <w:r w:rsidRPr="4ADB5253">
        <w:rPr>
          <w:lang w:eastAsia="en-AU"/>
        </w:rPr>
        <w:t xml:space="preserve"> understanding </w:t>
      </w:r>
      <w:r w:rsidR="003C2E33">
        <w:rPr>
          <w:lang w:eastAsia="en-AU"/>
        </w:rPr>
        <w:t>of</w:t>
      </w:r>
      <w:r w:rsidRPr="4ADB5253">
        <w:rPr>
          <w:lang w:eastAsia="en-AU"/>
        </w:rPr>
        <w:t xml:space="preserve"> </w:t>
      </w:r>
      <w:r w:rsidR="00FA4C18">
        <w:rPr>
          <w:lang w:eastAsia="en-AU"/>
        </w:rPr>
        <w:t>the importance of</w:t>
      </w:r>
      <w:r w:rsidRPr="4ADB5253">
        <w:rPr>
          <w:lang w:eastAsia="en-AU"/>
        </w:rPr>
        <w:t xml:space="preserve"> consumer. For example, </w:t>
      </w:r>
      <w:r w:rsidR="003B0CCD">
        <w:rPr>
          <w:lang w:eastAsia="en-AU"/>
        </w:rPr>
        <w:t xml:space="preserve">IFAS </w:t>
      </w:r>
      <w:r w:rsidRPr="4ADB5253">
        <w:rPr>
          <w:lang w:eastAsia="en-AU"/>
        </w:rPr>
        <w:t>has seen the lack of lived experience and peer support roles within the child protection system, meaning parents are without vital supports</w:t>
      </w:r>
      <w:r w:rsidR="003B0CCD">
        <w:rPr>
          <w:lang w:eastAsia="en-AU"/>
        </w:rPr>
        <w:t xml:space="preserve"> in navigating the system</w:t>
      </w:r>
      <w:r w:rsidRPr="4ADB5253">
        <w:rPr>
          <w:lang w:eastAsia="en-AU"/>
        </w:rPr>
        <w:t>.</w:t>
      </w:r>
      <w:r w:rsidR="003B0CCD">
        <w:rPr>
          <w:rStyle w:val="FootnoteReference"/>
          <w:lang w:eastAsia="en-AU"/>
        </w:rPr>
        <w:footnoteReference w:id="16"/>
      </w:r>
      <w:r w:rsidRPr="4ADB5253">
        <w:rPr>
          <w:lang w:eastAsia="en-AU"/>
        </w:rPr>
        <w:t xml:space="preserve"> People </w:t>
      </w:r>
      <w:r w:rsidR="0041492A">
        <w:rPr>
          <w:lang w:eastAsia="en-AU"/>
        </w:rPr>
        <w:t>engaged in these systems</w:t>
      </w:r>
      <w:r w:rsidRPr="4ADB5253">
        <w:rPr>
          <w:lang w:eastAsia="en-AU"/>
        </w:rPr>
        <w:t xml:space="preserve"> have regularly spoken up about the failures in these systems and the </w:t>
      </w:r>
      <w:r w:rsidR="00441092">
        <w:rPr>
          <w:lang w:eastAsia="en-AU"/>
        </w:rPr>
        <w:t xml:space="preserve">associated </w:t>
      </w:r>
      <w:r w:rsidRPr="4ADB5253">
        <w:rPr>
          <w:lang w:eastAsia="en-AU"/>
        </w:rPr>
        <w:t xml:space="preserve">impacts on their mental health – they have expertise that should shape </w:t>
      </w:r>
      <w:r w:rsidR="004B382E">
        <w:rPr>
          <w:lang w:eastAsia="en-AU"/>
        </w:rPr>
        <w:t>system</w:t>
      </w:r>
      <w:r w:rsidRPr="4ADB5253">
        <w:rPr>
          <w:lang w:eastAsia="en-AU"/>
        </w:rPr>
        <w:t xml:space="preserve"> improvement. This will require a cross-government initiative</w:t>
      </w:r>
      <w:r w:rsidR="00FE61CA">
        <w:rPr>
          <w:lang w:eastAsia="en-AU"/>
        </w:rPr>
        <w:t xml:space="preserve"> </w:t>
      </w:r>
      <w:r w:rsidR="009C42C6">
        <w:rPr>
          <w:lang w:eastAsia="en-AU"/>
        </w:rPr>
        <w:t>to improve recovery outcomes for consumers in</w:t>
      </w:r>
      <w:r w:rsidR="00FE61CA">
        <w:rPr>
          <w:lang w:eastAsia="en-AU"/>
        </w:rPr>
        <w:t xml:space="preserve"> </w:t>
      </w:r>
      <w:r w:rsidR="009C42C6">
        <w:t>healthcare systems</w:t>
      </w:r>
      <w:r w:rsidR="00FE61CA">
        <w:t xml:space="preserve"> (</w:t>
      </w:r>
      <w:r w:rsidR="009C42C6">
        <w:t>including hospitals</w:t>
      </w:r>
      <w:r w:rsidR="00FE61CA">
        <w:t xml:space="preserve">), </w:t>
      </w:r>
      <w:r w:rsidR="009C42C6">
        <w:t xml:space="preserve">criminal justice, </w:t>
      </w:r>
      <w:r w:rsidR="00EB5355">
        <w:t>courts</w:t>
      </w:r>
      <w:r w:rsidR="1B663C45">
        <w:t xml:space="preserve"> and tribunals</w:t>
      </w:r>
      <w:r w:rsidR="0039119D">
        <w:t xml:space="preserve"> (particularly therapeutic courts)</w:t>
      </w:r>
      <w:r w:rsidR="00EB5355">
        <w:t>,</w:t>
      </w:r>
      <w:r w:rsidR="002C6604">
        <w:t xml:space="preserve"> </w:t>
      </w:r>
      <w:r w:rsidR="009C42C6">
        <w:t>Victoria Police</w:t>
      </w:r>
      <w:r w:rsidR="00FE61CA">
        <w:t xml:space="preserve">, </w:t>
      </w:r>
      <w:r w:rsidR="009C42C6">
        <w:t>child protection</w:t>
      </w:r>
      <w:r w:rsidR="00FE61CA">
        <w:t xml:space="preserve">, </w:t>
      </w:r>
      <w:r w:rsidR="003D7A7E">
        <w:t xml:space="preserve">housing and </w:t>
      </w:r>
      <w:r w:rsidR="009C42C6">
        <w:t>family violence</w:t>
      </w:r>
      <w:r w:rsidR="003D7A7E">
        <w:t>.</w:t>
      </w:r>
      <w:r w:rsidR="003D7A7E" w:rsidRPr="3CC88682">
        <w:rPr>
          <w:rStyle w:val="FootnoteReference"/>
          <w:lang w:eastAsia="en-AU"/>
        </w:rPr>
        <w:footnoteReference w:id="17"/>
      </w:r>
      <w:r w:rsidR="003D7A7E" w:rsidDel="003D7A7E">
        <w:t xml:space="preserve"> </w:t>
      </w:r>
    </w:p>
    <w:p w14:paraId="33C2A279" w14:textId="18AAF296" w:rsidR="002B38B4" w:rsidRDefault="002B38B4" w:rsidP="00CA322D">
      <w:pPr>
        <w:rPr>
          <w:lang w:eastAsia="en-AU"/>
        </w:rPr>
      </w:pPr>
      <w:r>
        <w:rPr>
          <w:lang w:eastAsia="en-AU"/>
        </w:rPr>
        <w:t>A recurrent theme</w:t>
      </w:r>
      <w:r w:rsidR="009223C1">
        <w:rPr>
          <w:lang w:eastAsia="en-AU"/>
        </w:rPr>
        <w:t xml:space="preserve"> we have observed </w:t>
      </w:r>
      <w:r>
        <w:rPr>
          <w:lang w:eastAsia="en-AU"/>
        </w:rPr>
        <w:t>is the need for cultural change to ensure compliance with well-intended policy and legislation. Consumer leadership is one strategy for embedding cultural change.</w:t>
      </w:r>
    </w:p>
    <w:p w14:paraId="6130DFC7" w14:textId="63C5677F" w:rsidR="00CA322D" w:rsidRPr="00044161" w:rsidRDefault="00044161" w:rsidP="00E96257">
      <w:pPr>
        <w:shd w:val="clear" w:color="auto" w:fill="DEEAF6" w:themeFill="accent5" w:themeFillTint="33"/>
        <w:ind w:left="426"/>
      </w:pPr>
      <w:bookmarkStart w:id="365" w:name="_Toc40355727"/>
      <w:bookmarkStart w:id="366" w:name="_Toc41325320"/>
      <w:bookmarkStart w:id="367" w:name="_Toc41332776"/>
      <w:bookmarkStart w:id="368" w:name="_Toc41411925"/>
      <w:r w:rsidRPr="00044161">
        <w:rPr>
          <w:b/>
          <w:bCs/>
        </w:rPr>
        <w:t>Recommendation</w:t>
      </w:r>
      <w:r>
        <w:rPr>
          <w:b/>
          <w:bCs/>
        </w:rPr>
        <w:t xml:space="preserve"> 3</w:t>
      </w:r>
      <w:r w:rsidRPr="00044161">
        <w:rPr>
          <w:b/>
          <w:bCs/>
        </w:rPr>
        <w:t xml:space="preserve">: </w:t>
      </w:r>
      <w:r w:rsidR="000B340E">
        <w:rPr>
          <w:b/>
          <w:bCs/>
        </w:rPr>
        <w:tab/>
      </w:r>
      <w:r w:rsidR="00DB7C33" w:rsidRPr="00044161">
        <w:rPr>
          <w:b/>
          <w:bCs/>
        </w:rPr>
        <w:t>Embed c</w:t>
      </w:r>
      <w:r w:rsidR="00961F93" w:rsidRPr="00044161">
        <w:rPr>
          <w:b/>
          <w:bCs/>
        </w:rPr>
        <w:t>onsumer leadership in intersecting systems</w:t>
      </w:r>
      <w:bookmarkEnd w:id="365"/>
      <w:bookmarkEnd w:id="366"/>
      <w:bookmarkEnd w:id="367"/>
      <w:bookmarkEnd w:id="368"/>
    </w:p>
    <w:p w14:paraId="5C69100E" w14:textId="25286DA4" w:rsidR="000B340E" w:rsidRPr="00E96257" w:rsidRDefault="009C42C6" w:rsidP="00E96257">
      <w:pPr>
        <w:shd w:val="clear" w:color="auto" w:fill="DEEAF6" w:themeFill="accent5" w:themeFillTint="33"/>
        <w:ind w:left="426"/>
      </w:pPr>
      <w:r w:rsidRPr="00E96257">
        <w:t xml:space="preserve">The </w:t>
      </w:r>
      <w:r w:rsidR="00877B0C" w:rsidRPr="00E96257">
        <w:t>Royal Commission</w:t>
      </w:r>
      <w:r w:rsidRPr="00E96257">
        <w:t xml:space="preserve"> should </w:t>
      </w:r>
      <w:r w:rsidR="00CA322D" w:rsidRPr="00E96257">
        <w:t xml:space="preserve">extend </w:t>
      </w:r>
      <w:r w:rsidRPr="00E96257">
        <w:t>r</w:t>
      </w:r>
      <w:r w:rsidR="00CA322D" w:rsidRPr="00E96257">
        <w:t>ecommendation 6 of the Interim Report to include lived experience workforce initiatives in systems that intersect with the mental health system</w:t>
      </w:r>
      <w:r w:rsidRPr="00E96257">
        <w:t>.</w:t>
      </w:r>
    </w:p>
    <w:p w14:paraId="2CE0D0A1" w14:textId="565DF67C" w:rsidR="009C42C6" w:rsidRPr="00E96257" w:rsidRDefault="009C42C6" w:rsidP="00E96257">
      <w:pPr>
        <w:shd w:val="clear" w:color="auto" w:fill="DEEAF6" w:themeFill="accent5" w:themeFillTint="33"/>
        <w:ind w:left="426"/>
      </w:pPr>
      <w:r w:rsidRPr="00E96257">
        <w:t>Mental Health Reform Victoria could coordinate this recommendation in partnership with relevant government departments</w:t>
      </w:r>
      <w:r w:rsidR="0063591E" w:rsidRPr="00E96257">
        <w:t>.</w:t>
      </w:r>
    </w:p>
    <w:p w14:paraId="0D62B712" w14:textId="04FFF245" w:rsidR="009C42C6" w:rsidRDefault="00EA7C1F" w:rsidP="001C5A4F">
      <w:pPr>
        <w:pStyle w:val="Heading1"/>
      </w:pPr>
      <w:bookmarkStart w:id="369" w:name="_Toc41325321"/>
      <w:bookmarkStart w:id="370" w:name="_Toc41332777"/>
      <w:bookmarkStart w:id="371" w:name="_Toc41411926"/>
      <w:bookmarkStart w:id="372" w:name="_Toc41651946"/>
      <w:r>
        <w:t>Access to a</w:t>
      </w:r>
      <w:r w:rsidR="51A67415">
        <w:t>dvocacy</w:t>
      </w:r>
      <w:bookmarkEnd w:id="369"/>
      <w:bookmarkEnd w:id="370"/>
      <w:bookmarkEnd w:id="371"/>
      <w:bookmarkEnd w:id="372"/>
    </w:p>
    <w:p w14:paraId="229490F0" w14:textId="23CD2A85" w:rsidR="003A24D9" w:rsidRDefault="003A24D9" w:rsidP="00890800">
      <w:pPr>
        <w:pStyle w:val="Heading2"/>
      </w:pPr>
      <w:bookmarkStart w:id="373" w:name="_Toc41651947"/>
      <w:r>
        <w:t>Access to representational non-legal advocacy (IMHA)</w:t>
      </w:r>
      <w:bookmarkEnd w:id="373"/>
    </w:p>
    <w:p w14:paraId="38891E7B" w14:textId="5374B524" w:rsidR="003A24D9" w:rsidRPr="004B057E" w:rsidRDefault="003A24D9" w:rsidP="003A24D9">
      <w:pPr>
        <w:rPr>
          <w:rFonts w:cs="Arial"/>
          <w:szCs w:val="22"/>
          <w:lang w:eastAsia="en-AU"/>
        </w:rPr>
      </w:pPr>
      <w:r>
        <w:rPr>
          <w:rFonts w:cs="Arial"/>
          <w:szCs w:val="22"/>
          <w:lang w:eastAsia="en-AU"/>
        </w:rPr>
        <w:t>IMHA</w:t>
      </w:r>
      <w:r w:rsidRPr="004B057E">
        <w:rPr>
          <w:rFonts w:cs="Arial"/>
          <w:szCs w:val="22"/>
          <w:lang w:eastAsia="en-AU"/>
        </w:rPr>
        <w:t xml:space="preserve"> supports people receiving compulsory mental health treatment, or at risk of receiving compulsory treatment, to make decisions and have as much say as possible about their assessment, treatment and recovery. IMHA does this by employing an instruction</w:t>
      </w:r>
      <w:r>
        <w:rPr>
          <w:rFonts w:cs="Arial"/>
          <w:szCs w:val="22"/>
          <w:lang w:eastAsia="en-AU"/>
        </w:rPr>
        <w:t>-</w:t>
      </w:r>
      <w:r w:rsidRPr="004B057E">
        <w:rPr>
          <w:rFonts w:cs="Arial"/>
          <w:szCs w:val="22"/>
          <w:lang w:eastAsia="en-AU"/>
        </w:rPr>
        <w:t>based representational advocacy model. In practice, this means that IMHA advocates listen to</w:t>
      </w:r>
      <w:r w:rsidR="00C17F61">
        <w:rPr>
          <w:rFonts w:cs="Arial"/>
          <w:szCs w:val="22"/>
          <w:lang w:eastAsia="en-AU"/>
        </w:rPr>
        <w:t xml:space="preserve"> people</w:t>
      </w:r>
      <w:r w:rsidRPr="004B057E">
        <w:rPr>
          <w:rFonts w:cs="Arial"/>
          <w:szCs w:val="22"/>
          <w:lang w:eastAsia="en-AU"/>
        </w:rPr>
        <w:t xml:space="preserve">, support </w:t>
      </w:r>
      <w:r w:rsidR="00C17F61">
        <w:rPr>
          <w:rFonts w:cs="Arial"/>
          <w:szCs w:val="22"/>
          <w:lang w:eastAsia="en-AU"/>
        </w:rPr>
        <w:t>them</w:t>
      </w:r>
      <w:r w:rsidRPr="004B057E">
        <w:rPr>
          <w:rFonts w:cs="Arial"/>
          <w:szCs w:val="22"/>
          <w:lang w:eastAsia="en-AU"/>
        </w:rPr>
        <w:t xml:space="preserve"> to make decisions if they request this, and communicate </w:t>
      </w:r>
      <w:r w:rsidR="00C17F61">
        <w:rPr>
          <w:rFonts w:cs="Arial"/>
          <w:szCs w:val="22"/>
          <w:lang w:eastAsia="en-AU"/>
        </w:rPr>
        <w:t>their</w:t>
      </w:r>
      <w:r w:rsidRPr="004B057E">
        <w:rPr>
          <w:rFonts w:cs="Arial"/>
          <w:szCs w:val="22"/>
          <w:lang w:eastAsia="en-AU"/>
        </w:rPr>
        <w:t xml:space="preserve"> views and preferences as expressed by them</w:t>
      </w:r>
      <w:r>
        <w:rPr>
          <w:rFonts w:cs="Arial"/>
          <w:szCs w:val="22"/>
          <w:lang w:eastAsia="en-AU"/>
        </w:rPr>
        <w:t>.</w:t>
      </w:r>
      <w:r w:rsidR="006D4735">
        <w:rPr>
          <w:rStyle w:val="FootnoteReference"/>
          <w:rFonts w:cs="Arial"/>
          <w:szCs w:val="22"/>
          <w:lang w:eastAsia="en-AU"/>
        </w:rPr>
        <w:footnoteReference w:id="18"/>
      </w:r>
    </w:p>
    <w:p w14:paraId="7F631F9C" w14:textId="10E4E72B" w:rsidR="003A24D9" w:rsidRPr="004B057E" w:rsidRDefault="003A24D9" w:rsidP="003A24D9">
      <w:pPr>
        <w:rPr>
          <w:rFonts w:cs="Arial"/>
          <w:szCs w:val="22"/>
        </w:rPr>
      </w:pPr>
      <w:r w:rsidRPr="004B057E">
        <w:rPr>
          <w:rFonts w:cs="Arial"/>
          <w:szCs w:val="22"/>
          <w:lang w:eastAsia="en-AU"/>
        </w:rPr>
        <w:t>Supported decision</w:t>
      </w:r>
      <w:r>
        <w:rPr>
          <w:rFonts w:cs="Arial"/>
          <w:szCs w:val="22"/>
          <w:lang w:eastAsia="en-AU"/>
        </w:rPr>
        <w:t>-</w:t>
      </w:r>
      <w:r w:rsidRPr="004B057E">
        <w:rPr>
          <w:rFonts w:cs="Arial"/>
          <w:szCs w:val="22"/>
          <w:lang w:eastAsia="en-AU"/>
        </w:rPr>
        <w:t>making is the process used to assist people to make their own decisions</w:t>
      </w:r>
      <w:r>
        <w:rPr>
          <w:rFonts w:cs="Arial"/>
          <w:szCs w:val="22"/>
          <w:lang w:eastAsia="en-AU"/>
        </w:rPr>
        <w:t>,</w:t>
      </w:r>
      <w:r w:rsidRPr="004B057E">
        <w:rPr>
          <w:rFonts w:cs="Arial"/>
          <w:szCs w:val="22"/>
          <w:lang w:eastAsia="en-AU"/>
        </w:rPr>
        <w:t xml:space="preserve"> and representational advocacy is a mechanism to ensure people are part of clinical decision-making process</w:t>
      </w:r>
      <w:r>
        <w:rPr>
          <w:rFonts w:cs="Arial"/>
          <w:szCs w:val="22"/>
          <w:lang w:eastAsia="en-AU"/>
        </w:rPr>
        <w:t>es</w:t>
      </w:r>
      <w:r w:rsidRPr="004B057E">
        <w:rPr>
          <w:rFonts w:cs="Arial"/>
          <w:szCs w:val="22"/>
          <w:lang w:eastAsia="en-AU"/>
        </w:rPr>
        <w:t>.</w:t>
      </w:r>
    </w:p>
    <w:p w14:paraId="18C09617" w14:textId="54208564" w:rsidR="003A24D9" w:rsidRDefault="003A24D9" w:rsidP="003A24D9">
      <w:pPr>
        <w:rPr>
          <w:rFonts w:cs="Arial"/>
          <w:szCs w:val="22"/>
          <w:lang w:eastAsia="en-AU"/>
        </w:rPr>
      </w:pPr>
      <w:r>
        <w:rPr>
          <w:rFonts w:cs="Arial"/>
          <w:szCs w:val="22"/>
          <w:lang w:eastAsia="en-AU"/>
        </w:rPr>
        <w:t>RMIT conducted an independent evaluation of IMHA’s first three years of operation</w:t>
      </w:r>
      <w:r w:rsidR="006A6636">
        <w:rPr>
          <w:rFonts w:cs="Arial"/>
          <w:szCs w:val="22"/>
          <w:lang w:eastAsia="en-AU"/>
        </w:rPr>
        <w:t xml:space="preserve"> in 2018</w:t>
      </w:r>
      <w:r w:rsidRPr="004B057E">
        <w:rPr>
          <w:rFonts w:cs="Arial"/>
          <w:szCs w:val="22"/>
          <w:lang w:eastAsia="en-AU"/>
        </w:rPr>
        <w:t>. The key</w:t>
      </w:r>
      <w:r>
        <w:rPr>
          <w:rFonts w:cs="Arial"/>
          <w:szCs w:val="22"/>
          <w:lang w:eastAsia="en-AU"/>
        </w:rPr>
        <w:t xml:space="preserve"> relevant</w:t>
      </w:r>
      <w:r w:rsidRPr="004B057E">
        <w:rPr>
          <w:rFonts w:cs="Arial"/>
          <w:szCs w:val="22"/>
          <w:lang w:eastAsia="en-AU"/>
        </w:rPr>
        <w:t xml:space="preserve"> findings are</w:t>
      </w:r>
      <w:r>
        <w:rPr>
          <w:rFonts w:cs="Arial"/>
          <w:szCs w:val="22"/>
          <w:lang w:eastAsia="en-AU"/>
        </w:rPr>
        <w:t>:</w:t>
      </w:r>
      <w:r w:rsidRPr="004B057E">
        <w:rPr>
          <w:rStyle w:val="FootnoteReference"/>
          <w:rFonts w:cs="Arial"/>
          <w:sz w:val="22"/>
          <w:szCs w:val="22"/>
          <w:lang w:eastAsia="en-AU"/>
        </w:rPr>
        <w:footnoteReference w:id="19"/>
      </w:r>
    </w:p>
    <w:p w14:paraId="2F4AB1EB" w14:textId="77777777" w:rsidR="003A24D9" w:rsidRDefault="003A24D9" w:rsidP="00904F90">
      <w:pPr>
        <w:pStyle w:val="Listbulletcoloured"/>
      </w:pPr>
      <w:r w:rsidRPr="00EC704A">
        <w:t>IMHA was overwhelmingly positively received by consumers who had used the service.</w:t>
      </w:r>
    </w:p>
    <w:p w14:paraId="5F985BBC" w14:textId="77777777" w:rsidR="003A24D9" w:rsidRDefault="003A24D9" w:rsidP="00904F90">
      <w:pPr>
        <w:pStyle w:val="Listbulletcoloured"/>
      </w:pPr>
      <w:r w:rsidRPr="00EC704A">
        <w:t>IMHA is instrumental to the maintenance of the rights of people subject to compulsory treatment.</w:t>
      </w:r>
    </w:p>
    <w:p w14:paraId="7304338E" w14:textId="0544C810" w:rsidR="003A24D9" w:rsidRDefault="003A24D9" w:rsidP="00904F90">
      <w:pPr>
        <w:pStyle w:val="Listbulletcoloured"/>
      </w:pPr>
      <w:r w:rsidRPr="00EC704A">
        <w:lastRenderedPageBreak/>
        <w:t xml:space="preserve">Mental health services are not consistently operating in compliance with the </w:t>
      </w:r>
      <w:r>
        <w:t xml:space="preserve">Mental Health </w:t>
      </w:r>
      <w:r w:rsidR="78DB013B">
        <w:t>Act</w:t>
      </w:r>
      <w:r w:rsidRPr="00EC704A">
        <w:t>, and where IMHA services are utilised</w:t>
      </w:r>
      <w:r w:rsidR="16DB40E5">
        <w:t>,</w:t>
      </w:r>
      <w:r w:rsidRPr="00EC704A">
        <w:t xml:space="preserve"> it is effective at assisting them to do so. </w:t>
      </w:r>
    </w:p>
    <w:p w14:paraId="033ABCE2" w14:textId="29B39741" w:rsidR="003A24D9" w:rsidRPr="00EC704A" w:rsidRDefault="003A24D9" w:rsidP="00904F90">
      <w:pPr>
        <w:pStyle w:val="Listbulletcoloured"/>
      </w:pPr>
      <w:r w:rsidRPr="00EC704A">
        <w:t xml:space="preserve">For IMHA to continue to be successful in maintaining the rights of people subject to compulsory mental health treatment, </w:t>
      </w:r>
      <w:r w:rsidR="17D4094D">
        <w:t xml:space="preserve">IMHA’s services </w:t>
      </w:r>
      <w:r w:rsidRPr="00EC704A">
        <w:t xml:space="preserve">need to be accessible to all who require </w:t>
      </w:r>
      <w:r w:rsidR="151E7C31">
        <w:t>them</w:t>
      </w:r>
      <w:r w:rsidRPr="00EC704A">
        <w:t>. This requires an opt-out system where every person who is eligible is offered advocacy</w:t>
      </w:r>
      <w:r>
        <w:t>. I</w:t>
      </w:r>
      <w:r w:rsidRPr="00EC704A">
        <w:t>ncrease</w:t>
      </w:r>
      <w:r>
        <w:t>d</w:t>
      </w:r>
      <w:r w:rsidRPr="00EC704A">
        <w:t xml:space="preserve"> funding </w:t>
      </w:r>
      <w:r>
        <w:t xml:space="preserve">is necessary for IMHA </w:t>
      </w:r>
      <w:r w:rsidRPr="00EC704A">
        <w:t xml:space="preserve">to be able to provide services to all </w:t>
      </w:r>
      <w:r>
        <w:t>eligible consumers</w:t>
      </w:r>
      <w:r w:rsidRPr="00EC704A">
        <w:t xml:space="preserve">. </w:t>
      </w:r>
    </w:p>
    <w:p w14:paraId="3AF87396" w14:textId="674F9847" w:rsidR="003A24D9" w:rsidRDefault="003A24D9" w:rsidP="005F4ABF">
      <w:r w:rsidRPr="00362513">
        <w:rPr>
          <w:rFonts w:cs="Arial"/>
          <w:szCs w:val="22"/>
          <w:lang w:eastAsia="en-AU"/>
        </w:rPr>
        <w:t xml:space="preserve">IMHA </w:t>
      </w:r>
      <w:r>
        <w:rPr>
          <w:rFonts w:cs="Arial"/>
          <w:szCs w:val="22"/>
          <w:lang w:eastAsia="en-AU"/>
        </w:rPr>
        <w:t>should be an opt-out advocacy service with adequate funding to ensure that</w:t>
      </w:r>
      <w:r w:rsidR="00FE61CA">
        <w:rPr>
          <w:rFonts w:cs="Arial"/>
          <w:szCs w:val="22"/>
          <w:lang w:eastAsia="en-AU"/>
        </w:rPr>
        <w:t xml:space="preserve"> c</w:t>
      </w:r>
      <w:r w:rsidRPr="00EC704A">
        <w:t>onsumers</w:t>
      </w:r>
      <w:r>
        <w:t>’</w:t>
      </w:r>
      <w:r w:rsidRPr="00EC704A">
        <w:t xml:space="preserve"> rights are </w:t>
      </w:r>
      <w:proofErr w:type="gramStart"/>
      <w:r w:rsidR="003F5F42" w:rsidRPr="00EC704A">
        <w:t>uphel</w:t>
      </w:r>
      <w:r w:rsidR="003F5F42">
        <w:t>d</w:t>
      </w:r>
      <w:proofErr w:type="gramEnd"/>
      <w:r w:rsidR="003F5F42">
        <w:t xml:space="preserve"> </w:t>
      </w:r>
      <w:r>
        <w:t>and their self-determination respected</w:t>
      </w:r>
      <w:r w:rsidR="00FE61CA">
        <w:t>. This would also ensure that c</w:t>
      </w:r>
      <w:r>
        <w:t>onsumers understand and self-advocate about their rights</w:t>
      </w:r>
      <w:r w:rsidR="00FE61CA">
        <w:t xml:space="preserve">, and </w:t>
      </w:r>
      <w:r>
        <w:t>make informed decisions about their mental health treatment and recovery</w:t>
      </w:r>
      <w:r w:rsidR="00FE61CA">
        <w:t xml:space="preserve">. Importantly, this change would facilitate consumers accessing </w:t>
      </w:r>
      <w:r>
        <w:t xml:space="preserve">services to support their recovery, including key supported decision-making mechanisms (e.g. </w:t>
      </w:r>
      <w:r w:rsidRPr="004B057E">
        <w:t>legal support, second psychiatric opinions, advance statements</w:t>
      </w:r>
      <w:r>
        <w:t>) and other social supports</w:t>
      </w:r>
      <w:r w:rsidR="00FE61CA">
        <w:t>.</w:t>
      </w:r>
      <w:r w:rsidRPr="004B057E">
        <w:rPr>
          <w:rStyle w:val="FootnoteReference"/>
          <w:rFonts w:cs="Arial"/>
          <w:sz w:val="22"/>
          <w:szCs w:val="22"/>
        </w:rPr>
        <w:footnoteReference w:id="20"/>
      </w:r>
      <w:r>
        <w:t xml:space="preserve"> </w:t>
      </w:r>
    </w:p>
    <w:p w14:paraId="687706F3" w14:textId="2BC0E576" w:rsidR="003A24D9" w:rsidRDefault="003A24D9" w:rsidP="003A24D9">
      <w:pPr>
        <w:rPr>
          <w:rFonts w:cs="Arial"/>
          <w:szCs w:val="22"/>
          <w:lang w:eastAsia="en-AU"/>
        </w:rPr>
      </w:pPr>
      <w:r>
        <w:rPr>
          <w:rFonts w:cs="Arial"/>
          <w:szCs w:val="22"/>
          <w:lang w:eastAsia="en-AU"/>
        </w:rPr>
        <w:t xml:space="preserve">There </w:t>
      </w:r>
      <w:r w:rsidR="00FE61CA">
        <w:rPr>
          <w:rFonts w:cs="Arial"/>
          <w:szCs w:val="22"/>
          <w:lang w:eastAsia="en-AU"/>
        </w:rPr>
        <w:t>are</w:t>
      </w:r>
      <w:r>
        <w:rPr>
          <w:rFonts w:cs="Arial"/>
          <w:szCs w:val="22"/>
          <w:lang w:eastAsia="en-AU"/>
        </w:rPr>
        <w:t xml:space="preserve"> a series of legislative and practice changes required to introduce an opt-out model (</w:t>
      </w:r>
      <w:proofErr w:type="gramStart"/>
      <w:r>
        <w:rPr>
          <w:rFonts w:cs="Arial"/>
          <w:szCs w:val="22"/>
          <w:lang w:eastAsia="en-AU"/>
        </w:rPr>
        <w:t>similar to</w:t>
      </w:r>
      <w:proofErr w:type="gramEnd"/>
      <w:r>
        <w:rPr>
          <w:rFonts w:cs="Arial"/>
          <w:szCs w:val="22"/>
          <w:lang w:eastAsia="en-AU"/>
        </w:rPr>
        <w:t xml:space="preserve"> the effective model in the UK), including:</w:t>
      </w:r>
    </w:p>
    <w:p w14:paraId="395280BA" w14:textId="7391DB51" w:rsidR="003A24D9" w:rsidRDefault="003A24D9" w:rsidP="00904F90">
      <w:pPr>
        <w:pStyle w:val="Listbulletcoloured"/>
      </w:pPr>
      <w:r>
        <w:rPr>
          <w:b/>
          <w:bCs/>
        </w:rPr>
        <w:t xml:space="preserve">Opt-out system: </w:t>
      </w:r>
      <w:r w:rsidRPr="00EC704A">
        <w:t>Giv</w:t>
      </w:r>
      <w:r>
        <w:t>ing</w:t>
      </w:r>
      <w:r w:rsidRPr="00EC704A">
        <w:t xml:space="preserve"> </w:t>
      </w:r>
      <w:r w:rsidR="00A92813">
        <w:t xml:space="preserve">IMHA </w:t>
      </w:r>
      <w:r w:rsidRPr="00EC704A">
        <w:t xml:space="preserve">authority to contact every person on a </w:t>
      </w:r>
      <w:r>
        <w:t>compulsory t</w:t>
      </w:r>
      <w:r w:rsidRPr="00EC704A">
        <w:t xml:space="preserve">reatment </w:t>
      </w:r>
      <w:r>
        <w:t>o</w:t>
      </w:r>
      <w:r w:rsidRPr="00EC704A">
        <w:t>rder</w:t>
      </w:r>
      <w:r w:rsidR="00664701">
        <w:rPr>
          <w:rStyle w:val="FootnoteReference"/>
        </w:rPr>
        <w:footnoteReference w:id="21"/>
      </w:r>
      <w:r>
        <w:t xml:space="preserve"> (</w:t>
      </w:r>
      <w:r w:rsidR="004421F6">
        <w:t xml:space="preserve">particularly </w:t>
      </w:r>
      <w:r>
        <w:t xml:space="preserve">consumers in </w:t>
      </w:r>
      <w:r w:rsidR="003F5F42" w:rsidRPr="006339BA">
        <w:t>Secure Extended Care Units (</w:t>
      </w:r>
      <w:r w:rsidR="003F5F42" w:rsidRPr="00BA290D">
        <w:rPr>
          <w:b/>
          <w:bCs/>
        </w:rPr>
        <w:t>SECU</w:t>
      </w:r>
      <w:r w:rsidR="003F5F42">
        <w:t>s</w:t>
      </w:r>
      <w:r>
        <w:t>)</w:t>
      </w:r>
      <w:r w:rsidR="003F5F42">
        <w:t>)</w:t>
      </w:r>
      <w:r>
        <w:t>;</w:t>
      </w:r>
    </w:p>
    <w:p w14:paraId="2D21415A" w14:textId="7AF8AFA7" w:rsidR="003A24D9" w:rsidRDefault="003A24D9" w:rsidP="00904F90">
      <w:pPr>
        <w:pStyle w:val="Listbulletcoloured"/>
      </w:pPr>
      <w:r w:rsidRPr="00EC704A">
        <w:rPr>
          <w:b/>
          <w:bCs/>
        </w:rPr>
        <w:t xml:space="preserve">Consumer data: </w:t>
      </w:r>
      <w:r w:rsidRPr="00EC704A">
        <w:t>Provi</w:t>
      </w:r>
      <w:r w:rsidR="0054320F">
        <w:t>d</w:t>
      </w:r>
      <w:r w:rsidR="00A92813">
        <w:t>ing</w:t>
      </w:r>
      <w:r w:rsidRPr="00EC704A">
        <w:t xml:space="preserve"> IMHA with access to centralised data providing information </w:t>
      </w:r>
      <w:r w:rsidR="004A4600">
        <w:t>about</w:t>
      </w:r>
      <w:r w:rsidRPr="00EC704A">
        <w:t xml:space="preserve"> people placed on a compulsory treatment order;</w:t>
      </w:r>
    </w:p>
    <w:p w14:paraId="6FD4F51B" w14:textId="3177A63C" w:rsidR="003A24D9" w:rsidRDefault="003A24D9" w:rsidP="00904F90">
      <w:pPr>
        <w:pStyle w:val="Listbulletcoloured"/>
      </w:pPr>
      <w:r>
        <w:rPr>
          <w:b/>
          <w:bCs/>
        </w:rPr>
        <w:t xml:space="preserve">Consumer access: </w:t>
      </w:r>
      <w:r w:rsidR="0063591E">
        <w:t>Authoris</w:t>
      </w:r>
      <w:r w:rsidR="004A4600">
        <w:t>ing</w:t>
      </w:r>
      <w:r w:rsidR="0063591E" w:rsidRPr="00EC704A">
        <w:t xml:space="preserve"> </w:t>
      </w:r>
      <w:r w:rsidRPr="00EC704A">
        <w:t>IMHA to access inpatient units</w:t>
      </w:r>
      <w:r>
        <w:t xml:space="preserve"> to provide non-legal advocacy to consumers;</w:t>
      </w:r>
      <w:r w:rsidR="1239DC94" w:rsidRPr="3AF51656">
        <w:t xml:space="preserve"> and</w:t>
      </w:r>
    </w:p>
    <w:p w14:paraId="57CBFDB9" w14:textId="0D17C6B3" w:rsidR="003A24D9" w:rsidRPr="00EC704A" w:rsidRDefault="003A24D9" w:rsidP="00904F90">
      <w:pPr>
        <w:pStyle w:val="Listbulletcoloured"/>
      </w:pPr>
      <w:r>
        <w:rPr>
          <w:b/>
          <w:bCs/>
        </w:rPr>
        <w:t xml:space="preserve">Service guidelines: </w:t>
      </w:r>
      <w:r>
        <w:t>Develop</w:t>
      </w:r>
      <w:r w:rsidR="006C6F5C">
        <w:t>ing</w:t>
      </w:r>
      <w:r w:rsidRPr="00EC704A">
        <w:t xml:space="preserve"> guidelines for clinical decision-makers at designated mental health services that require them to respond to IMHA advocacy within a reasonable timeframe</w:t>
      </w:r>
      <w:r>
        <w:t>, including avenues to escalate matters which do not receive a timely and effective response</w:t>
      </w:r>
      <w:r w:rsidRPr="00EC704A">
        <w:t>.</w:t>
      </w:r>
    </w:p>
    <w:p w14:paraId="3C2BC58D" w14:textId="2BE99657" w:rsidR="000B340E" w:rsidRPr="000B340E" w:rsidRDefault="003C1CF3" w:rsidP="00E96257">
      <w:pPr>
        <w:shd w:val="clear" w:color="auto" w:fill="DEEAF6" w:themeFill="accent5" w:themeFillTint="33"/>
        <w:spacing w:line="240" w:lineRule="auto"/>
        <w:ind w:left="426"/>
      </w:pPr>
      <w:bookmarkStart w:id="374" w:name="_Toc40355728"/>
      <w:bookmarkStart w:id="375" w:name="_Toc41325322"/>
      <w:bookmarkStart w:id="376" w:name="_Toc41332778"/>
      <w:bookmarkStart w:id="377" w:name="_Toc41411927"/>
      <w:r>
        <w:rPr>
          <w:b/>
          <w:bCs/>
        </w:rPr>
        <w:t xml:space="preserve">Recommendation 4: </w:t>
      </w:r>
      <w:r w:rsidR="000B340E">
        <w:rPr>
          <w:b/>
          <w:bCs/>
        </w:rPr>
        <w:tab/>
      </w:r>
      <w:r w:rsidR="00DB7C33" w:rsidRPr="003C1CF3">
        <w:rPr>
          <w:b/>
          <w:bCs/>
        </w:rPr>
        <w:t>Ensure a</w:t>
      </w:r>
      <w:r w:rsidR="003A24D9" w:rsidRPr="003C1CF3">
        <w:rPr>
          <w:b/>
          <w:bCs/>
        </w:rPr>
        <w:t>ccess to non-legal advocacy</w:t>
      </w:r>
      <w:bookmarkEnd w:id="374"/>
      <w:r w:rsidR="00402DAC" w:rsidRPr="003C1CF3">
        <w:rPr>
          <w:b/>
          <w:bCs/>
        </w:rPr>
        <w:t xml:space="preserve"> for consumers on</w:t>
      </w:r>
      <w:r w:rsidR="000B340E">
        <w:rPr>
          <w:b/>
          <w:bCs/>
        </w:rPr>
        <w:t xml:space="preserve"> </w:t>
      </w:r>
      <w:r w:rsidR="00402DAC" w:rsidRPr="003C1CF3">
        <w:rPr>
          <w:b/>
          <w:bCs/>
        </w:rPr>
        <w:t>compulsory treatment orders</w:t>
      </w:r>
      <w:bookmarkEnd w:id="375"/>
      <w:bookmarkEnd w:id="376"/>
      <w:bookmarkEnd w:id="377"/>
    </w:p>
    <w:p w14:paraId="4EC97967" w14:textId="2D4114FE" w:rsidR="003A24D9" w:rsidRPr="00044161" w:rsidRDefault="003A24D9" w:rsidP="00E96257">
      <w:pPr>
        <w:shd w:val="clear" w:color="auto" w:fill="DEEAF6" w:themeFill="accent5" w:themeFillTint="33"/>
        <w:ind w:left="426"/>
      </w:pPr>
      <w:bookmarkStart w:id="378" w:name="_Hlk41578987"/>
      <w:r w:rsidRPr="00044161">
        <w:t>The Victorian Government should</w:t>
      </w:r>
      <w:r w:rsidR="00F22739" w:rsidRPr="00044161">
        <w:t xml:space="preserve"> </w:t>
      </w:r>
      <w:r w:rsidRPr="00044161">
        <w:t xml:space="preserve">introduce an opt-out system for independent non-legal advocacy for consumers on </w:t>
      </w:r>
      <w:r w:rsidR="13F621C1" w:rsidRPr="00044161">
        <w:t xml:space="preserve">compulsory </w:t>
      </w:r>
      <w:r w:rsidRPr="00044161">
        <w:t>treatment orders</w:t>
      </w:r>
      <w:r w:rsidR="00B75E0A" w:rsidRPr="00044161">
        <w:t xml:space="preserve"> </w:t>
      </w:r>
      <w:r w:rsidRPr="00044161">
        <w:t>and</w:t>
      </w:r>
      <w:r w:rsidR="00F22739" w:rsidRPr="00044161">
        <w:t xml:space="preserve"> </w:t>
      </w:r>
      <w:r w:rsidRPr="00044161">
        <w:t>provide adequate funding for IMHA to meet service demand.</w:t>
      </w:r>
    </w:p>
    <w:p w14:paraId="5C8E8120" w14:textId="77777777" w:rsidR="003A24D9" w:rsidRDefault="003A24D9" w:rsidP="00833F8F">
      <w:pPr>
        <w:pStyle w:val="Heading2"/>
        <w:pageBreakBefore/>
      </w:pPr>
      <w:bookmarkStart w:id="379" w:name="_Toc41651948"/>
      <w:bookmarkEnd w:id="378"/>
      <w:r>
        <w:lastRenderedPageBreak/>
        <w:t>Access to legal assistance for people with mental health issues</w:t>
      </w:r>
      <w:bookmarkEnd w:id="379"/>
    </w:p>
    <w:p w14:paraId="75A363DB" w14:textId="76C43DC1" w:rsidR="00705C04" w:rsidRDefault="00705C04" w:rsidP="00984FB7">
      <w:pPr>
        <w:pStyle w:val="Heading3"/>
        <w:numPr>
          <w:ilvl w:val="0"/>
          <w:numId w:val="12"/>
        </w:numPr>
        <w:ind w:left="567" w:hanging="567"/>
      </w:pPr>
      <w:r w:rsidRPr="00904F90">
        <w:t>Legal</w:t>
      </w:r>
      <w:r w:rsidRPr="009C42C6">
        <w:t xml:space="preserve"> </w:t>
      </w:r>
      <w:r>
        <w:t>a</w:t>
      </w:r>
      <w:r w:rsidRPr="009C42C6">
        <w:t xml:space="preserve">ssistance </w:t>
      </w:r>
      <w:r>
        <w:t>before</w:t>
      </w:r>
      <w:r w:rsidRPr="009C42C6">
        <w:t xml:space="preserve"> the</w:t>
      </w:r>
      <w:r>
        <w:t xml:space="preserve"> Mental Health</w:t>
      </w:r>
      <w:r w:rsidRPr="009C42C6">
        <w:t xml:space="preserve"> Tribunal</w:t>
      </w:r>
    </w:p>
    <w:p w14:paraId="183AC3AB" w14:textId="065CFF56" w:rsidR="00705C04" w:rsidRDefault="00705C04" w:rsidP="00705C04">
      <w:pPr>
        <w:rPr>
          <w:lang w:eastAsia="en-AU"/>
        </w:rPr>
      </w:pPr>
      <w:r>
        <w:rPr>
          <w:lang w:eastAsia="en-AU"/>
        </w:rPr>
        <w:t>L</w:t>
      </w:r>
      <w:r w:rsidRPr="00281CA3">
        <w:rPr>
          <w:lang w:eastAsia="en-AU"/>
        </w:rPr>
        <w:t>egal information, advice and representation provide</w:t>
      </w:r>
      <w:r>
        <w:rPr>
          <w:lang w:eastAsia="en-AU"/>
        </w:rPr>
        <w:t>s</w:t>
      </w:r>
      <w:r w:rsidRPr="00281CA3">
        <w:rPr>
          <w:lang w:eastAsia="en-AU"/>
        </w:rPr>
        <w:t xml:space="preserve"> multiple benefits to people appearing before the </w:t>
      </w:r>
      <w:r>
        <w:rPr>
          <w:lang w:eastAsia="en-AU"/>
        </w:rPr>
        <w:t xml:space="preserve">Mental Health </w:t>
      </w:r>
      <w:r w:rsidRPr="00281CA3">
        <w:rPr>
          <w:lang w:eastAsia="en-AU"/>
        </w:rPr>
        <w:t xml:space="preserve">Tribunal </w:t>
      </w:r>
      <w:r w:rsidR="00FE64A8">
        <w:rPr>
          <w:lang w:eastAsia="en-AU"/>
        </w:rPr>
        <w:t>(</w:t>
      </w:r>
      <w:r w:rsidR="00FE64A8">
        <w:rPr>
          <w:b/>
          <w:bCs/>
          <w:lang w:eastAsia="en-AU"/>
        </w:rPr>
        <w:t>the Tribunal</w:t>
      </w:r>
      <w:r w:rsidR="00FE64A8">
        <w:rPr>
          <w:lang w:eastAsia="en-AU"/>
        </w:rPr>
        <w:t>)</w:t>
      </w:r>
      <w:r w:rsidRPr="00281CA3">
        <w:rPr>
          <w:lang w:eastAsia="en-AU"/>
        </w:rPr>
        <w:t xml:space="preserve"> in </w:t>
      </w:r>
      <w:r>
        <w:rPr>
          <w:lang w:eastAsia="en-AU"/>
        </w:rPr>
        <w:t>relation to</w:t>
      </w:r>
      <w:r w:rsidRPr="00281CA3">
        <w:rPr>
          <w:lang w:eastAsia="en-AU"/>
        </w:rPr>
        <w:t xml:space="preserve"> improved consumer experience, less restrictive outcomes and broader, including systemic</w:t>
      </w:r>
      <w:r w:rsidR="2119F91A" w:rsidRPr="00281CA3">
        <w:rPr>
          <w:lang w:eastAsia="en-AU"/>
        </w:rPr>
        <w:t>,</w:t>
      </w:r>
      <w:r w:rsidRPr="00281CA3">
        <w:rPr>
          <w:lang w:eastAsia="en-AU"/>
        </w:rPr>
        <w:t xml:space="preserve"> benefits.</w:t>
      </w:r>
      <w:r>
        <w:rPr>
          <w:rStyle w:val="FootnoteReference"/>
          <w:lang w:eastAsia="en-AU"/>
        </w:rPr>
        <w:footnoteReference w:id="22"/>
      </w:r>
    </w:p>
    <w:p w14:paraId="21713B62" w14:textId="389D47DE" w:rsidR="00705C04" w:rsidRPr="00281CA3" w:rsidRDefault="00705C04" w:rsidP="00705C04">
      <w:pPr>
        <w:rPr>
          <w:lang w:eastAsia="en-AU"/>
        </w:rPr>
      </w:pPr>
      <w:r w:rsidRPr="00281CA3">
        <w:rPr>
          <w:lang w:eastAsia="en-AU"/>
        </w:rPr>
        <w:t xml:space="preserve">The Mental Health Act does not require the Tribunal or mental health services </w:t>
      </w:r>
      <w:r w:rsidR="00722FB9">
        <w:rPr>
          <w:lang w:eastAsia="en-AU"/>
        </w:rPr>
        <w:t>t</w:t>
      </w:r>
      <w:r w:rsidRPr="00281CA3">
        <w:rPr>
          <w:lang w:eastAsia="en-AU"/>
        </w:rPr>
        <w:t>o facilitate legal representation, refer consumers for legal assistance, or notify VLA of hearings.</w:t>
      </w:r>
      <w:r>
        <w:rPr>
          <w:lang w:eastAsia="en-AU"/>
        </w:rPr>
        <w:t xml:space="preserve"> </w:t>
      </w:r>
      <w:r w:rsidRPr="00281CA3">
        <w:rPr>
          <w:lang w:eastAsia="en-AU"/>
        </w:rPr>
        <w:t xml:space="preserve">We see many consumers unable to access legal assistance because </w:t>
      </w:r>
      <w:r w:rsidR="008A7912">
        <w:rPr>
          <w:lang w:eastAsia="en-AU"/>
        </w:rPr>
        <w:t xml:space="preserve">legal assistance providers do not receive adequate funding to provide advice and representation in </w:t>
      </w:r>
      <w:proofErr w:type="gramStart"/>
      <w:r w:rsidR="008A7912">
        <w:rPr>
          <w:lang w:eastAsia="en-AU"/>
        </w:rPr>
        <w:t>the majority of</w:t>
      </w:r>
      <w:proofErr w:type="gramEnd"/>
      <w:r w:rsidR="008A7912">
        <w:rPr>
          <w:lang w:eastAsia="en-AU"/>
        </w:rPr>
        <w:t xml:space="preserve"> hearings, and the system is complex for consumers to navigate.</w:t>
      </w:r>
    </w:p>
    <w:p w14:paraId="6B6D431C" w14:textId="0F0C1D74" w:rsidR="003162FC" w:rsidRPr="00281CA3" w:rsidRDefault="00705C04" w:rsidP="00705C04">
      <w:pPr>
        <w:rPr>
          <w:lang w:eastAsia="en-AU"/>
        </w:rPr>
      </w:pPr>
      <w:r w:rsidRPr="00281CA3">
        <w:rPr>
          <w:lang w:eastAsia="en-AU"/>
        </w:rPr>
        <w:t xml:space="preserve">At many mental health inpatient </w:t>
      </w:r>
      <w:r>
        <w:rPr>
          <w:lang w:eastAsia="en-AU"/>
        </w:rPr>
        <w:t>units</w:t>
      </w:r>
      <w:r w:rsidRPr="00281CA3">
        <w:rPr>
          <w:lang w:eastAsia="en-AU"/>
        </w:rPr>
        <w:t xml:space="preserve">, </w:t>
      </w:r>
      <w:r w:rsidR="008A7912">
        <w:rPr>
          <w:lang w:eastAsia="en-AU"/>
        </w:rPr>
        <w:t>VLA and IMHA have</w:t>
      </w:r>
      <w:r w:rsidRPr="00281CA3">
        <w:rPr>
          <w:lang w:eastAsia="en-AU"/>
        </w:rPr>
        <w:t xml:space="preserve"> established good working relationships and arrangements with </w:t>
      </w:r>
      <w:r>
        <w:rPr>
          <w:lang w:eastAsia="en-AU"/>
        </w:rPr>
        <w:t>the</w:t>
      </w:r>
      <w:r w:rsidRPr="00281CA3">
        <w:rPr>
          <w:lang w:eastAsia="en-AU"/>
        </w:rPr>
        <w:t xml:space="preserve"> mental health service to support consumer access to the legal service. However, the approach is inconsistent </w:t>
      </w:r>
      <w:r w:rsidR="00CE3FF8">
        <w:rPr>
          <w:lang w:eastAsia="en-AU"/>
        </w:rPr>
        <w:t xml:space="preserve">between services (e.g. </w:t>
      </w:r>
      <w:r w:rsidR="001617AD">
        <w:rPr>
          <w:lang w:eastAsia="en-AU"/>
        </w:rPr>
        <w:t xml:space="preserve">service </w:t>
      </w:r>
      <w:r w:rsidR="003F39B5">
        <w:rPr>
          <w:lang w:eastAsia="en-AU"/>
        </w:rPr>
        <w:t>agreement</w:t>
      </w:r>
      <w:r w:rsidR="000472EB">
        <w:rPr>
          <w:lang w:eastAsia="en-AU"/>
        </w:rPr>
        <w:t>s exist with some, but not all services).</w:t>
      </w:r>
      <w:r w:rsidR="001433A9">
        <w:rPr>
          <w:lang w:eastAsia="en-AU"/>
        </w:rPr>
        <w:t xml:space="preserve"> </w:t>
      </w:r>
      <w:r w:rsidR="00C11C2B">
        <w:rPr>
          <w:lang w:eastAsia="en-AU"/>
        </w:rPr>
        <w:t>Other jurisdictions</w:t>
      </w:r>
      <w:r w:rsidR="00622091">
        <w:rPr>
          <w:lang w:eastAsia="en-AU"/>
        </w:rPr>
        <w:t xml:space="preserve"> in Australia have higher rates of legal representation before equivalent tribunals </w:t>
      </w:r>
      <w:r w:rsidR="001A7204">
        <w:rPr>
          <w:lang w:eastAsia="en-AU"/>
        </w:rPr>
        <w:t xml:space="preserve">due to a combination of funding, legislation and </w:t>
      </w:r>
      <w:r w:rsidR="00EF6897">
        <w:rPr>
          <w:lang w:eastAsia="en-AU"/>
        </w:rPr>
        <w:t>practice</w:t>
      </w:r>
      <w:r w:rsidR="00EB2229">
        <w:rPr>
          <w:lang w:eastAsia="en-AU"/>
        </w:rPr>
        <w:t>.</w:t>
      </w:r>
      <w:r w:rsidR="00240971">
        <w:rPr>
          <w:rStyle w:val="FootnoteReference"/>
          <w:lang w:eastAsia="en-AU"/>
        </w:rPr>
        <w:footnoteReference w:id="23"/>
      </w:r>
    </w:p>
    <w:p w14:paraId="118BC603" w14:textId="56311C58" w:rsidR="00705C04" w:rsidRPr="00281CA3" w:rsidRDefault="00705C04" w:rsidP="00705C04">
      <w:pPr>
        <w:rPr>
          <w:lang w:eastAsia="en-AU"/>
        </w:rPr>
      </w:pPr>
      <w:r w:rsidRPr="00281CA3">
        <w:rPr>
          <w:lang w:eastAsia="en-AU"/>
        </w:rPr>
        <w:t xml:space="preserve">Legal assistance for all consumers would require </w:t>
      </w:r>
      <w:r w:rsidR="00970231">
        <w:rPr>
          <w:lang w:eastAsia="en-AU"/>
        </w:rPr>
        <w:t xml:space="preserve">a </w:t>
      </w:r>
      <w:r w:rsidRPr="00281CA3">
        <w:rPr>
          <w:lang w:eastAsia="en-AU"/>
        </w:rPr>
        <w:t>substantial increase in funding</w:t>
      </w:r>
      <w:r>
        <w:rPr>
          <w:lang w:eastAsia="en-AU"/>
        </w:rPr>
        <w:t>. H</w:t>
      </w:r>
      <w:r w:rsidRPr="00281CA3">
        <w:rPr>
          <w:lang w:eastAsia="en-AU"/>
        </w:rPr>
        <w:t>owever, services could also be delivered more efficiently by systems that shift the responsibility for referral and linking from the individual</w:t>
      </w:r>
      <w:r>
        <w:rPr>
          <w:lang w:eastAsia="en-AU"/>
        </w:rPr>
        <w:t xml:space="preserve"> mental health</w:t>
      </w:r>
      <w:r w:rsidRPr="00281CA3">
        <w:rPr>
          <w:lang w:eastAsia="en-AU"/>
        </w:rPr>
        <w:t xml:space="preserve"> service and consumer level to a central, single point, allowing legal services to be focused on client facing service delivery, rather than facilitating access. </w:t>
      </w:r>
      <w:r w:rsidRPr="0079294E">
        <w:rPr>
          <w:lang w:eastAsia="en-AU"/>
        </w:rPr>
        <w:t xml:space="preserve">Funding for legal assistance </w:t>
      </w:r>
      <w:r w:rsidR="00710DAF">
        <w:rPr>
          <w:lang w:eastAsia="en-AU"/>
        </w:rPr>
        <w:t>before the Tribunal</w:t>
      </w:r>
      <w:r w:rsidRPr="0079294E">
        <w:rPr>
          <w:lang w:eastAsia="en-AU"/>
        </w:rPr>
        <w:t xml:space="preserve"> should</w:t>
      </w:r>
      <w:r>
        <w:rPr>
          <w:lang w:eastAsia="en-AU"/>
        </w:rPr>
        <w:t xml:space="preserve"> – </w:t>
      </w:r>
      <w:r w:rsidRPr="0079294E">
        <w:rPr>
          <w:lang w:eastAsia="en-AU"/>
        </w:rPr>
        <w:t>at a minimum</w:t>
      </w:r>
      <w:r>
        <w:rPr>
          <w:lang w:eastAsia="en-AU"/>
        </w:rPr>
        <w:t xml:space="preserve"> – </w:t>
      </w:r>
      <w:r w:rsidRPr="0079294E">
        <w:rPr>
          <w:lang w:eastAsia="en-AU"/>
        </w:rPr>
        <w:t xml:space="preserve">ensure that </w:t>
      </w:r>
      <w:r w:rsidR="00C60FB1">
        <w:rPr>
          <w:lang w:eastAsia="en-AU"/>
        </w:rPr>
        <w:t>a duty lawyer</w:t>
      </w:r>
      <w:r w:rsidRPr="0079294E">
        <w:rPr>
          <w:lang w:eastAsia="en-AU"/>
        </w:rPr>
        <w:t xml:space="preserve"> is available for all regular sitting days.</w:t>
      </w:r>
    </w:p>
    <w:p w14:paraId="3A381744" w14:textId="34CF27AB" w:rsidR="00705C04" w:rsidRDefault="00705C04" w:rsidP="00705C04">
      <w:pPr>
        <w:rPr>
          <w:lang w:eastAsia="en-AU"/>
        </w:rPr>
      </w:pPr>
      <w:r w:rsidRPr="00281CA3">
        <w:rPr>
          <w:lang w:eastAsia="en-AU"/>
        </w:rPr>
        <w:t xml:space="preserve">Legal assistance services could also be more efficiently deployed to reach more consumers by allowing lawyers to appear in the Tribunal </w:t>
      </w:r>
      <w:r w:rsidR="003802BC">
        <w:rPr>
          <w:lang w:eastAsia="en-AU"/>
        </w:rPr>
        <w:t>remotely</w:t>
      </w:r>
      <w:r w:rsidRPr="00281CA3">
        <w:rPr>
          <w:lang w:eastAsia="en-AU"/>
        </w:rPr>
        <w:t xml:space="preserve">. This is commonly available in courts and other </w:t>
      </w:r>
      <w:r w:rsidR="00710DAF">
        <w:rPr>
          <w:lang w:eastAsia="en-AU"/>
        </w:rPr>
        <w:t>t</w:t>
      </w:r>
      <w:r w:rsidRPr="00281CA3">
        <w:rPr>
          <w:lang w:eastAsia="en-AU"/>
        </w:rPr>
        <w:t xml:space="preserve">ribunals but has generally </w:t>
      </w:r>
      <w:r w:rsidR="6E98902B" w:rsidRPr="5B8958A3">
        <w:rPr>
          <w:lang w:eastAsia="en-AU"/>
        </w:rPr>
        <w:t xml:space="preserve">rarely </w:t>
      </w:r>
      <w:r w:rsidRPr="00281CA3">
        <w:rPr>
          <w:lang w:eastAsia="en-AU"/>
        </w:rPr>
        <w:t xml:space="preserve">been allowed in the Tribunal. The current move to a fully remote hearing model in the </w:t>
      </w:r>
      <w:r>
        <w:rPr>
          <w:lang w:eastAsia="en-AU"/>
        </w:rPr>
        <w:t>context</w:t>
      </w:r>
      <w:r w:rsidRPr="00281CA3">
        <w:rPr>
          <w:lang w:eastAsia="en-AU"/>
        </w:rPr>
        <w:t xml:space="preserve"> of COVID</w:t>
      </w:r>
      <w:r>
        <w:rPr>
          <w:lang w:eastAsia="en-AU"/>
        </w:rPr>
        <w:t>-</w:t>
      </w:r>
      <w:r w:rsidRPr="00281CA3">
        <w:rPr>
          <w:lang w:eastAsia="en-AU"/>
        </w:rPr>
        <w:t xml:space="preserve">19 has enabled </w:t>
      </w:r>
      <w:r>
        <w:rPr>
          <w:lang w:eastAsia="en-AU"/>
        </w:rPr>
        <w:t xml:space="preserve">VLA </w:t>
      </w:r>
      <w:r w:rsidRPr="00281CA3">
        <w:rPr>
          <w:lang w:eastAsia="en-AU"/>
        </w:rPr>
        <w:t>to provide representation to clients we would normally not reach. This improved access could continue by providing clear guidance that lawyers can appear via video or phone link in any matter on request.</w:t>
      </w:r>
    </w:p>
    <w:p w14:paraId="61423D41" w14:textId="53B74BE0" w:rsidR="0073509D" w:rsidRDefault="0073509D" w:rsidP="00705C04">
      <w:pPr>
        <w:rPr>
          <w:lang w:eastAsia="en-AU"/>
        </w:rPr>
      </w:pPr>
      <w:r>
        <w:rPr>
          <w:lang w:eastAsia="en-AU"/>
        </w:rPr>
        <w:t>There are practical, process-focused changes required to improve access to legal assistance for consumers in mental health proceedings, including:</w:t>
      </w:r>
    </w:p>
    <w:p w14:paraId="7D9216A0" w14:textId="77777777" w:rsidR="0073509D" w:rsidRDefault="0073509D" w:rsidP="00904F90">
      <w:pPr>
        <w:pStyle w:val="Listbulletcoloured"/>
      </w:pPr>
      <w:r>
        <w:t>implementing a centralised system for referral of consumers with Tribunal hearings to obtain legal assistance for their hearing;</w:t>
      </w:r>
    </w:p>
    <w:p w14:paraId="215AAC4C" w14:textId="5ED29DB7" w:rsidR="0040306D" w:rsidRDefault="0073509D" w:rsidP="00904F90">
      <w:pPr>
        <w:pStyle w:val="Listbulletcoloured"/>
      </w:pPr>
      <w:r>
        <w:t>requiring designated mental health services and the Tribunal to provide</w:t>
      </w:r>
      <w:r w:rsidR="0040306D">
        <w:t>:</w:t>
      </w:r>
    </w:p>
    <w:p w14:paraId="7FBF5CBF" w14:textId="50F9669F" w:rsidR="0040306D" w:rsidRDefault="0073509D" w:rsidP="00984FB7">
      <w:pPr>
        <w:pStyle w:val="Listbulletcoloured"/>
        <w:numPr>
          <w:ilvl w:val="1"/>
          <w:numId w:val="8"/>
        </w:numPr>
        <w:tabs>
          <w:tab w:val="clear" w:pos="680"/>
          <w:tab w:val="num" w:pos="993"/>
        </w:tabs>
        <w:ind w:left="993" w:hanging="284"/>
      </w:pPr>
      <w:r>
        <w:t xml:space="preserve">consumer contact details to </w:t>
      </w:r>
      <w:r w:rsidR="43F325FF">
        <w:t>VLA</w:t>
      </w:r>
      <w:r>
        <w:t xml:space="preserve"> for the purpose of facilitating legal assistance before the Tribunal without requiring consumer consent</w:t>
      </w:r>
      <w:r w:rsidR="0040306D">
        <w:t xml:space="preserve"> (this may require amendments to the Mental Health Act);</w:t>
      </w:r>
      <w:r w:rsidR="0040306D" w:rsidDel="0040306D">
        <w:rPr>
          <w:rStyle w:val="CommentReference"/>
          <w:lang w:eastAsia="en-US"/>
        </w:rPr>
        <w:t xml:space="preserve"> </w:t>
      </w:r>
    </w:p>
    <w:p w14:paraId="58569BDB" w14:textId="0AE2C63E" w:rsidR="0073509D" w:rsidRDefault="0073509D" w:rsidP="00984FB7">
      <w:pPr>
        <w:pStyle w:val="Listbulletcoloured"/>
        <w:numPr>
          <w:ilvl w:val="1"/>
          <w:numId w:val="8"/>
        </w:numPr>
        <w:tabs>
          <w:tab w:val="clear" w:pos="680"/>
          <w:tab w:val="num" w:pos="993"/>
        </w:tabs>
        <w:ind w:left="993" w:hanging="284"/>
      </w:pPr>
      <w:r>
        <w:lastRenderedPageBreak/>
        <w:t>any documents the consumer is entitled to in relation to their hearing to a consumer’s legal representative, electronically or otherwise, with consumer consent; and</w:t>
      </w:r>
    </w:p>
    <w:p w14:paraId="1F6551E7" w14:textId="6B4F4742" w:rsidR="0073509D" w:rsidRDefault="0073509D" w:rsidP="001433A9">
      <w:pPr>
        <w:pStyle w:val="Listbulletcoloured"/>
      </w:pPr>
      <w:r>
        <w:t>requiring the Tribunal to allow legal representatives to appear by telephone or video in any matter on request.</w:t>
      </w:r>
    </w:p>
    <w:p w14:paraId="14E14BB2" w14:textId="07AB70DA" w:rsidR="00705C04" w:rsidRPr="001028B6" w:rsidRDefault="003C1CF3" w:rsidP="00E96257">
      <w:pPr>
        <w:shd w:val="clear" w:color="auto" w:fill="DEEAF6" w:themeFill="accent5" w:themeFillTint="33"/>
        <w:spacing w:line="240" w:lineRule="auto"/>
        <w:ind w:left="3119" w:hanging="2693"/>
      </w:pPr>
      <w:bookmarkStart w:id="380" w:name="_Toc40355729"/>
      <w:bookmarkStart w:id="381" w:name="_Toc41325323"/>
      <w:bookmarkStart w:id="382" w:name="_Toc41332779"/>
      <w:bookmarkStart w:id="383" w:name="_Toc41411928"/>
      <w:r>
        <w:rPr>
          <w:b/>
          <w:bCs/>
        </w:rPr>
        <w:t xml:space="preserve">Recommendation 5: </w:t>
      </w:r>
      <w:r w:rsidR="000B340E">
        <w:rPr>
          <w:b/>
          <w:bCs/>
        </w:rPr>
        <w:tab/>
      </w:r>
      <w:r w:rsidR="00705C04" w:rsidRPr="003C1CF3">
        <w:rPr>
          <w:b/>
          <w:bCs/>
        </w:rPr>
        <w:t>Increase access to legal assistance</w:t>
      </w:r>
      <w:bookmarkEnd w:id="380"/>
      <w:r w:rsidR="005C6F35" w:rsidRPr="003C1CF3">
        <w:rPr>
          <w:b/>
          <w:bCs/>
        </w:rPr>
        <w:t xml:space="preserve"> for </w:t>
      </w:r>
      <w:r w:rsidR="00827F44" w:rsidRPr="003C1CF3">
        <w:rPr>
          <w:b/>
          <w:bCs/>
        </w:rPr>
        <w:t>Mental Health Tribunal</w:t>
      </w:r>
      <w:r w:rsidR="00082863" w:rsidRPr="003C1CF3">
        <w:rPr>
          <w:b/>
          <w:bCs/>
        </w:rPr>
        <w:t xml:space="preserve"> proceedings</w:t>
      </w:r>
      <w:bookmarkEnd w:id="381"/>
      <w:bookmarkEnd w:id="382"/>
      <w:bookmarkEnd w:id="383"/>
      <w:r w:rsidR="00833F8F">
        <w:rPr>
          <w:rStyle w:val="FootnoteReference"/>
          <w:b/>
          <w:bCs/>
        </w:rPr>
        <w:footnoteReference w:id="24"/>
      </w:r>
    </w:p>
    <w:p w14:paraId="7F9531BA" w14:textId="7BA06010" w:rsidR="00705C04" w:rsidRPr="003C1CF3" w:rsidRDefault="00D256F2" w:rsidP="00E96257">
      <w:pPr>
        <w:shd w:val="clear" w:color="auto" w:fill="DEEAF6" w:themeFill="accent5" w:themeFillTint="33"/>
        <w:ind w:left="426"/>
      </w:pPr>
      <w:r w:rsidRPr="003C1CF3">
        <w:t>The Victorian Government should fund additional Mental Health Tribunal legal assistance services and improve referral, information-sharing and processes</w:t>
      </w:r>
      <w:r w:rsidR="00047C1F" w:rsidRPr="003C1CF3">
        <w:t xml:space="preserve"> </w:t>
      </w:r>
      <w:r w:rsidRPr="003C1CF3">
        <w:t xml:space="preserve">to ensure all consumers can access free legal assistance. </w:t>
      </w:r>
    </w:p>
    <w:p w14:paraId="4F61B7EA" w14:textId="0E5675D6" w:rsidR="00152A47" w:rsidRDefault="00152A47" w:rsidP="001C5A4F">
      <w:pPr>
        <w:pStyle w:val="Heading1"/>
      </w:pPr>
      <w:bookmarkStart w:id="384" w:name="_Toc41325339"/>
      <w:bookmarkStart w:id="385" w:name="_Toc41332782"/>
      <w:bookmarkStart w:id="386" w:name="_Toc41411929"/>
      <w:bookmarkStart w:id="387" w:name="_Toc41651949"/>
      <w:r>
        <w:t>Accessibility and safety of services</w:t>
      </w:r>
      <w:bookmarkEnd w:id="384"/>
      <w:bookmarkEnd w:id="385"/>
      <w:bookmarkEnd w:id="386"/>
      <w:bookmarkEnd w:id="387"/>
    </w:p>
    <w:p w14:paraId="54A33DC8" w14:textId="2BBF454B" w:rsidR="00001179" w:rsidRDefault="00001179" w:rsidP="00890800">
      <w:pPr>
        <w:pStyle w:val="Heading2"/>
      </w:pPr>
      <w:bookmarkStart w:id="388" w:name="_Toc41651950"/>
      <w:r>
        <w:t>Trauma informed care and family violence</w:t>
      </w:r>
      <w:bookmarkEnd w:id="388"/>
    </w:p>
    <w:p w14:paraId="7105EA68" w14:textId="37626EC1" w:rsidR="00F912AA" w:rsidRDefault="00001179" w:rsidP="00001179">
      <w:pPr>
        <w:rPr>
          <w:lang w:eastAsia="en-AU"/>
        </w:rPr>
      </w:pPr>
      <w:r>
        <w:rPr>
          <w:lang w:eastAsia="en-AU"/>
        </w:rPr>
        <w:t xml:space="preserve">Many VLA clients and consumers experiencing mental health issues have experienced trauma </w:t>
      </w:r>
      <w:r w:rsidR="00F912AA">
        <w:rPr>
          <w:lang w:eastAsia="en-AU"/>
        </w:rPr>
        <w:t>and</w:t>
      </w:r>
      <w:r w:rsidR="006866B8">
        <w:rPr>
          <w:lang w:eastAsia="en-AU"/>
        </w:rPr>
        <w:t>/or</w:t>
      </w:r>
      <w:r w:rsidR="00F912AA">
        <w:rPr>
          <w:lang w:eastAsia="en-AU"/>
        </w:rPr>
        <w:t xml:space="preserve"> family violence</w:t>
      </w:r>
      <w:r>
        <w:rPr>
          <w:lang w:eastAsia="en-AU"/>
        </w:rPr>
        <w:t xml:space="preserve">. </w:t>
      </w:r>
      <w:r w:rsidR="00BC0846">
        <w:rPr>
          <w:lang w:eastAsia="en-AU"/>
        </w:rPr>
        <w:t>Previous Royal Commissions into Institutional Child Sexual Abuse and Family Violence have recognised the long-term mental health impacts of trauma.</w:t>
      </w:r>
      <w:r w:rsidR="00BC0846">
        <w:rPr>
          <w:rStyle w:val="FootnoteReference"/>
          <w:lang w:eastAsia="en-AU"/>
        </w:rPr>
        <w:footnoteReference w:id="25"/>
      </w:r>
    </w:p>
    <w:p w14:paraId="4665E224" w14:textId="7F5E8285" w:rsidR="00001179" w:rsidRDefault="00001179" w:rsidP="00001179">
      <w:pPr>
        <w:rPr>
          <w:lang w:eastAsia="en-AU"/>
        </w:rPr>
      </w:pPr>
      <w:r>
        <w:rPr>
          <w:lang w:eastAsia="en-AU"/>
        </w:rPr>
        <w:t xml:space="preserve">The Department of Health and Human Services </w:t>
      </w:r>
      <w:r w:rsidR="00025509">
        <w:rPr>
          <w:lang w:eastAsia="en-AU"/>
        </w:rPr>
        <w:t>(</w:t>
      </w:r>
      <w:r w:rsidR="00025509" w:rsidRPr="00E96257">
        <w:rPr>
          <w:b/>
          <w:bCs/>
          <w:lang w:eastAsia="en-AU"/>
        </w:rPr>
        <w:t>DHHS</w:t>
      </w:r>
      <w:r w:rsidR="00025509">
        <w:rPr>
          <w:lang w:eastAsia="en-AU"/>
        </w:rPr>
        <w:t xml:space="preserve">) </w:t>
      </w:r>
      <w:r>
        <w:rPr>
          <w:lang w:eastAsia="en-AU"/>
        </w:rPr>
        <w:t xml:space="preserve">should resource trauma-informed resources tailored for specific groups </w:t>
      </w:r>
      <w:r w:rsidR="00657DBB">
        <w:rPr>
          <w:lang w:eastAsia="en-AU"/>
        </w:rPr>
        <w:t>who are</w:t>
      </w:r>
      <w:r>
        <w:rPr>
          <w:lang w:eastAsia="en-AU"/>
        </w:rPr>
        <w:t xml:space="preserve"> more likely to have experienced trauma. </w:t>
      </w:r>
      <w:r w:rsidR="00FB1921">
        <w:rPr>
          <w:lang w:eastAsia="en-AU"/>
        </w:rPr>
        <w:t xml:space="preserve">For example, there is a lack of understanding that government policies, especially regarding child removal and incarceration, can cause harm and contribute to trauma to Aboriginal and Torres Strait Islander communities. </w:t>
      </w:r>
    </w:p>
    <w:p w14:paraId="15860803" w14:textId="45B81AE3" w:rsidR="00001179" w:rsidRPr="002B38B4" w:rsidRDefault="00001179" w:rsidP="00001179">
      <w:pPr>
        <w:rPr>
          <w:lang w:eastAsia="en-AU"/>
        </w:rPr>
      </w:pPr>
      <w:r w:rsidRPr="002B38B4">
        <w:rPr>
          <w:lang w:eastAsia="en-AU"/>
        </w:rPr>
        <w:t xml:space="preserve">Family violence and </w:t>
      </w:r>
      <w:r w:rsidR="00F912AA">
        <w:rPr>
          <w:lang w:eastAsia="en-AU"/>
        </w:rPr>
        <w:t xml:space="preserve">the </w:t>
      </w:r>
      <w:r w:rsidRPr="002B38B4">
        <w:rPr>
          <w:lang w:eastAsia="en-AU"/>
        </w:rPr>
        <w:t xml:space="preserve">experience of trauma is </w:t>
      </w:r>
      <w:r w:rsidR="00F912AA">
        <w:rPr>
          <w:lang w:eastAsia="en-AU"/>
        </w:rPr>
        <w:t>also</w:t>
      </w:r>
      <w:r w:rsidRPr="002B38B4">
        <w:rPr>
          <w:lang w:eastAsia="en-AU"/>
        </w:rPr>
        <w:t xml:space="preserve"> under-recognised and too frequently responded to solely as an individualised mental health issue. This can lead to clients missing out on early access to legal and non-legal support and family violence services and cause or exacerbate mental health issues, putting women</w:t>
      </w:r>
      <w:r w:rsidRPr="002B38B4">
        <w:rPr>
          <w:vertAlign w:val="superscript"/>
          <w:lang w:eastAsia="en-AU"/>
        </w:rPr>
        <w:footnoteReference w:id="26"/>
      </w:r>
      <w:r w:rsidRPr="002B38B4">
        <w:rPr>
          <w:lang w:eastAsia="en-AU"/>
        </w:rPr>
        <w:t xml:space="preserve"> in particular at greater risk of experiencing legal problems</w:t>
      </w:r>
      <w:r w:rsidR="006F1480">
        <w:rPr>
          <w:lang w:eastAsia="en-AU"/>
        </w:rPr>
        <w:t>, including child protection involvement,</w:t>
      </w:r>
      <w:r w:rsidRPr="002B38B4">
        <w:rPr>
          <w:lang w:eastAsia="en-AU"/>
        </w:rPr>
        <w:t xml:space="preserve"> and the continuation of family violence.</w:t>
      </w:r>
      <w:r w:rsidR="008148C9">
        <w:rPr>
          <w:rStyle w:val="FootnoteReference"/>
          <w:lang w:eastAsia="en-AU"/>
        </w:rPr>
        <w:footnoteReference w:id="27"/>
      </w:r>
    </w:p>
    <w:p w14:paraId="51EE1336" w14:textId="327C6602" w:rsidR="00001179" w:rsidRPr="002B38B4" w:rsidRDefault="00001179" w:rsidP="00001179">
      <w:pPr>
        <w:rPr>
          <w:lang w:eastAsia="en-AU"/>
        </w:rPr>
      </w:pPr>
      <w:r w:rsidRPr="002B38B4">
        <w:rPr>
          <w:lang w:eastAsia="en-AU"/>
        </w:rPr>
        <w:t>A better understanding of the dynamics of family violence may prevent tipping people into the mental health system and keep them safer. VLA client experiences demonstrat</w:t>
      </w:r>
      <w:r>
        <w:rPr>
          <w:lang w:eastAsia="en-AU"/>
        </w:rPr>
        <w:t>ing</w:t>
      </w:r>
      <w:r w:rsidRPr="002B38B4">
        <w:rPr>
          <w:lang w:eastAsia="en-AU"/>
        </w:rPr>
        <w:t xml:space="preserve"> the ramifications </w:t>
      </w:r>
      <w:r>
        <w:rPr>
          <w:lang w:eastAsia="en-AU"/>
        </w:rPr>
        <w:t xml:space="preserve">of </w:t>
      </w:r>
      <w:r w:rsidRPr="002B38B4">
        <w:rPr>
          <w:lang w:eastAsia="en-AU"/>
        </w:rPr>
        <w:t xml:space="preserve">a poor understanding of family </w:t>
      </w:r>
      <w:r w:rsidR="00773671" w:rsidRPr="002B38B4">
        <w:rPr>
          <w:lang w:eastAsia="en-AU"/>
        </w:rPr>
        <w:t>violence</w:t>
      </w:r>
      <w:r w:rsidR="00773671">
        <w:rPr>
          <w:lang w:eastAsia="en-AU"/>
        </w:rPr>
        <w:t>, include</w:t>
      </w:r>
      <w:r>
        <w:rPr>
          <w:lang w:eastAsia="en-AU"/>
        </w:rPr>
        <w:t>:</w:t>
      </w:r>
      <w:r>
        <w:rPr>
          <w:rStyle w:val="FootnoteReference"/>
          <w:lang w:eastAsia="en-AU"/>
        </w:rPr>
        <w:footnoteReference w:id="28"/>
      </w:r>
    </w:p>
    <w:p w14:paraId="3563DA55" w14:textId="3AEEFAFF" w:rsidR="00001179" w:rsidRPr="004C2AD8" w:rsidRDefault="00E90842" w:rsidP="00984FB7">
      <w:pPr>
        <w:pStyle w:val="ListParagraph"/>
        <w:numPr>
          <w:ilvl w:val="0"/>
          <w:numId w:val="13"/>
        </w:numPr>
      </w:pPr>
      <w:r>
        <w:t>A</w:t>
      </w:r>
      <w:r w:rsidRPr="00EE264E">
        <w:t>s part of their control or abuse</w:t>
      </w:r>
      <w:r>
        <w:t>,</w:t>
      </w:r>
      <w:r w:rsidRPr="007E57AA">
        <w:t xml:space="preserve"> </w:t>
      </w:r>
      <w:r>
        <w:t>p</w:t>
      </w:r>
      <w:r w:rsidR="00001179" w:rsidRPr="007E57AA">
        <w:t xml:space="preserve">erpetrators of family violence can make allegations that the victim is experiencing mental </w:t>
      </w:r>
      <w:r w:rsidR="00001179" w:rsidRPr="00EE264E">
        <w:t xml:space="preserve">health issues. We have seen women admitted to mental health units solely </w:t>
      </w:r>
      <w:proofErr w:type="gramStart"/>
      <w:r w:rsidR="00001179" w:rsidRPr="00EE264E">
        <w:t>on the basis of</w:t>
      </w:r>
      <w:proofErr w:type="gramEnd"/>
      <w:r w:rsidR="00001179" w:rsidRPr="00EE264E">
        <w:t xml:space="preserve"> their partners’ reports o</w:t>
      </w:r>
      <w:r w:rsidR="009B690A" w:rsidRPr="004C2AD8">
        <w:t>f</w:t>
      </w:r>
      <w:r w:rsidR="00001179" w:rsidRPr="004C2AD8">
        <w:t xml:space="preserve"> their behaviour or mental state; and</w:t>
      </w:r>
    </w:p>
    <w:p w14:paraId="52BBAEF1" w14:textId="77777777" w:rsidR="00001179" w:rsidRPr="004D34A4" w:rsidRDefault="00001179" w:rsidP="00984FB7">
      <w:pPr>
        <w:pStyle w:val="ListParagraph"/>
        <w:numPr>
          <w:ilvl w:val="0"/>
          <w:numId w:val="13"/>
        </w:numPr>
      </w:pPr>
      <w:r w:rsidRPr="004C2AD8">
        <w:t>Reports of family violence can be dismissed as symptomatic of mental health issues, therefore not properly addressed or responded to.</w:t>
      </w:r>
    </w:p>
    <w:p w14:paraId="37B9A935" w14:textId="0D18DBD4" w:rsidR="00A30FA6" w:rsidRDefault="00001179" w:rsidP="00E96257">
      <w:pPr>
        <w:pageBreakBefore/>
      </w:pPr>
      <w:r>
        <w:rPr>
          <w:lang w:eastAsia="en-AU"/>
        </w:rPr>
        <w:lastRenderedPageBreak/>
        <w:t xml:space="preserve">When experiences of family violence are not recognised or appropriately responded to in mental health settings, it can retraumatise people who have experienced family violence, jeopardise therapeutic relationships and quality of care and represent a missed opportunity for intervention and support. Adequate training and support for mental health service staff will ensure that </w:t>
      </w:r>
      <w:r>
        <w:t xml:space="preserve">family violence </w:t>
      </w:r>
      <w:proofErr w:type="gramStart"/>
      <w:r>
        <w:t>understanding</w:t>
      </w:r>
      <w:proofErr w:type="gramEnd"/>
      <w:r>
        <w:t xml:space="preserve"> and response is a core element of the mental health system and that the presence of family violence and its effects </w:t>
      </w:r>
      <w:r w:rsidR="76134C84">
        <w:t>are</w:t>
      </w:r>
      <w:r>
        <w:t xml:space="preserve"> not unnecessarily missed or misdiagnosed.</w:t>
      </w:r>
      <w:r w:rsidR="00A54FDC">
        <w:t xml:space="preserve"> We refer </w:t>
      </w:r>
      <w:r w:rsidR="00A54FDC" w:rsidRPr="0002528A">
        <w:t xml:space="preserve">to </w:t>
      </w:r>
      <w:r w:rsidR="00C70316">
        <w:t>recommendation 9</w:t>
      </w:r>
      <w:r w:rsidR="00A54FDC">
        <w:t xml:space="preserve"> below on training for mental health services.</w:t>
      </w:r>
      <w:r w:rsidR="001D713E">
        <w:rPr>
          <w:rStyle w:val="FootnoteReference"/>
        </w:rPr>
        <w:footnoteReference w:id="29"/>
      </w:r>
    </w:p>
    <w:p w14:paraId="05333902" w14:textId="30DC0E3B" w:rsidR="00001179" w:rsidRDefault="00A34332" w:rsidP="00001179">
      <w:r>
        <w:t xml:space="preserve">The </w:t>
      </w:r>
      <w:r w:rsidR="005D7F12" w:rsidRPr="00E96257">
        <w:rPr>
          <w:iCs/>
        </w:rPr>
        <w:t>Royal Commission into Family Violence</w:t>
      </w:r>
      <w:r w:rsidR="005D7F12">
        <w:t xml:space="preserve"> made extensive recommendations recognising the </w:t>
      </w:r>
      <w:r w:rsidR="0099371F">
        <w:t xml:space="preserve">impact of family violence on mental health and the need for </w:t>
      </w:r>
      <w:r w:rsidR="009002CA">
        <w:t>improved</w:t>
      </w:r>
      <w:r w:rsidR="00AD5D26">
        <w:t xml:space="preserve"> training and collaboration</w:t>
      </w:r>
      <w:r w:rsidR="000420A7">
        <w:t xml:space="preserve">, however </w:t>
      </w:r>
      <w:r w:rsidR="005A4E80">
        <w:t xml:space="preserve">these </w:t>
      </w:r>
      <w:r w:rsidR="28DC5DA8">
        <w:t xml:space="preserve">recommendations </w:t>
      </w:r>
      <w:r w:rsidR="005A4E80">
        <w:t>have not been fully implemented and we have not seen the cultural change they intend to bring about.</w:t>
      </w:r>
      <w:r w:rsidR="00B97956">
        <w:rPr>
          <w:rStyle w:val="FootnoteReference"/>
        </w:rPr>
        <w:footnoteReference w:id="30"/>
      </w:r>
    </w:p>
    <w:p w14:paraId="7A33C895" w14:textId="7D1FCCE5" w:rsidR="00A54FDC" w:rsidRPr="003C1CF3" w:rsidRDefault="00935819" w:rsidP="00E96257">
      <w:pPr>
        <w:shd w:val="clear" w:color="auto" w:fill="DEEAF6" w:themeFill="accent5" w:themeFillTint="33"/>
        <w:spacing w:before="240" w:line="240" w:lineRule="auto"/>
        <w:ind w:left="3119" w:hanging="2693"/>
      </w:pPr>
      <w:bookmarkStart w:id="389" w:name="_Toc41325340"/>
      <w:bookmarkStart w:id="390" w:name="_Toc41332784"/>
      <w:bookmarkStart w:id="391" w:name="_Toc41411930"/>
      <w:r w:rsidRPr="003C1CF3">
        <w:rPr>
          <w:b/>
          <w:bCs/>
        </w:rPr>
        <w:t>Re</w:t>
      </w:r>
      <w:r w:rsidR="003C1CF3" w:rsidRPr="003C1CF3">
        <w:rPr>
          <w:b/>
          <w:bCs/>
        </w:rPr>
        <w:t>commendation 6:</w:t>
      </w:r>
      <w:r w:rsidR="00F4563A">
        <w:rPr>
          <w:b/>
          <w:bCs/>
        </w:rPr>
        <w:tab/>
      </w:r>
      <w:r w:rsidR="003C1CF3" w:rsidRPr="003C1CF3">
        <w:rPr>
          <w:b/>
          <w:bCs/>
        </w:rPr>
        <w:t>Re</w:t>
      </w:r>
      <w:r w:rsidRPr="003C1CF3">
        <w:rPr>
          <w:b/>
          <w:bCs/>
        </w:rPr>
        <w:t>quire s</w:t>
      </w:r>
      <w:r w:rsidR="00A54FDC" w:rsidRPr="003C1CF3">
        <w:rPr>
          <w:b/>
          <w:bCs/>
        </w:rPr>
        <w:t>creening for family violence risks</w:t>
      </w:r>
      <w:r w:rsidR="00722135" w:rsidRPr="003C1CF3">
        <w:rPr>
          <w:b/>
          <w:bCs/>
        </w:rPr>
        <w:t xml:space="preserve"> </w:t>
      </w:r>
      <w:r w:rsidR="00FC5298" w:rsidRPr="003C1CF3">
        <w:rPr>
          <w:b/>
          <w:bCs/>
        </w:rPr>
        <w:t>by</w:t>
      </w:r>
      <w:r w:rsidR="00722135" w:rsidRPr="003C1CF3">
        <w:rPr>
          <w:b/>
          <w:bCs/>
        </w:rPr>
        <w:t xml:space="preserve"> mental health services</w:t>
      </w:r>
      <w:bookmarkEnd w:id="389"/>
      <w:bookmarkEnd w:id="390"/>
      <w:bookmarkEnd w:id="391"/>
    </w:p>
    <w:p w14:paraId="2FA2F298" w14:textId="61935ED4" w:rsidR="00A54FDC" w:rsidRPr="003C1CF3" w:rsidRDefault="00A54FDC" w:rsidP="00E96257">
      <w:pPr>
        <w:shd w:val="clear" w:color="auto" w:fill="DEEAF6" w:themeFill="accent5" w:themeFillTint="33"/>
        <w:ind w:left="426"/>
      </w:pPr>
      <w:r w:rsidRPr="003C1CF3">
        <w:t>The Department of Health and Human Services should require and fund mental health services to develop policies to ensure family violence risk screening is undertaken as part of the intake process within the mental health system (e.g. risk identification, referrals to family violence services for safety planning).</w:t>
      </w:r>
    </w:p>
    <w:p w14:paraId="56F4ED14" w14:textId="242894A9" w:rsidR="00001179" w:rsidRDefault="00001179" w:rsidP="00756613">
      <w:pPr>
        <w:rPr>
          <w:lang w:eastAsia="en-AU"/>
        </w:rPr>
      </w:pPr>
      <w:r>
        <w:rPr>
          <w:lang w:eastAsia="en-AU"/>
        </w:rPr>
        <w:t>If systems and interventions do not acknowledge the co-existence of both mental health issues and use of family violence, the capacity for the mental health of people who use family violence to be supported and the behaviour addressed is limited.</w:t>
      </w:r>
      <w:r w:rsidR="000647E5">
        <w:rPr>
          <w:lang w:eastAsia="en-AU"/>
        </w:rPr>
        <w:t xml:space="preserve"> </w:t>
      </w:r>
      <w:r w:rsidR="001F67CB" w:rsidRPr="001F67CB">
        <w:rPr>
          <w:lang w:eastAsia="en-AU"/>
        </w:rPr>
        <w:t>Where</w:t>
      </w:r>
      <w:r w:rsidR="0040392D" w:rsidRPr="0040392D">
        <w:rPr>
          <w:lang w:eastAsia="en-AU"/>
        </w:rPr>
        <w:t xml:space="preserve"> a </w:t>
      </w:r>
      <w:r w:rsidR="001F67CB" w:rsidRPr="001F67CB">
        <w:rPr>
          <w:lang w:eastAsia="en-AU"/>
        </w:rPr>
        <w:t xml:space="preserve">perpetrator of </w:t>
      </w:r>
      <w:r w:rsidR="0040392D" w:rsidRPr="0040392D">
        <w:rPr>
          <w:lang w:eastAsia="en-AU"/>
        </w:rPr>
        <w:t xml:space="preserve">family violence </w:t>
      </w:r>
      <w:r w:rsidR="001F67CB" w:rsidRPr="001F67CB">
        <w:rPr>
          <w:lang w:eastAsia="en-AU"/>
        </w:rPr>
        <w:t xml:space="preserve">is experiencing mental health issues, </w:t>
      </w:r>
      <w:r w:rsidR="00B17759">
        <w:rPr>
          <w:lang w:eastAsia="en-AU"/>
        </w:rPr>
        <w:t xml:space="preserve">a combination of </w:t>
      </w:r>
      <w:r w:rsidR="001F67CB" w:rsidRPr="001F67CB">
        <w:rPr>
          <w:lang w:eastAsia="en-AU"/>
        </w:rPr>
        <w:t xml:space="preserve">justice, </w:t>
      </w:r>
      <w:r w:rsidR="0040392D" w:rsidRPr="0040392D">
        <w:rPr>
          <w:lang w:eastAsia="en-AU"/>
        </w:rPr>
        <w:t xml:space="preserve">therapeutic </w:t>
      </w:r>
      <w:r w:rsidR="001F67CB" w:rsidRPr="001F67CB">
        <w:rPr>
          <w:lang w:eastAsia="en-AU"/>
        </w:rPr>
        <w:t>and family violence response</w:t>
      </w:r>
      <w:r w:rsidR="00BE3DEE">
        <w:rPr>
          <w:lang w:eastAsia="en-AU"/>
        </w:rPr>
        <w:t>s</w:t>
      </w:r>
      <w:r w:rsidR="001F67CB" w:rsidRPr="001F67CB">
        <w:rPr>
          <w:lang w:eastAsia="en-AU"/>
        </w:rPr>
        <w:t xml:space="preserve"> may be required (depending on the circumstances)</w:t>
      </w:r>
      <w:r w:rsidR="0040392D" w:rsidRPr="0040392D">
        <w:rPr>
          <w:lang w:eastAsia="en-AU"/>
        </w:rPr>
        <w:t xml:space="preserve"> to better ensure safety for the victim and fair treatment for the perpetrator.</w:t>
      </w:r>
      <w:r w:rsidR="001F67CB" w:rsidRPr="001F67CB">
        <w:rPr>
          <w:lang w:eastAsia="en-AU"/>
        </w:rPr>
        <w:t xml:space="preserve"> </w:t>
      </w:r>
    </w:p>
    <w:p w14:paraId="0D380EF5" w14:textId="4804593D" w:rsidR="00001179" w:rsidRPr="003C1CF3" w:rsidRDefault="003C1CF3" w:rsidP="00E96257">
      <w:pPr>
        <w:shd w:val="clear" w:color="auto" w:fill="DEEAF6" w:themeFill="accent5" w:themeFillTint="33"/>
        <w:spacing w:before="240" w:line="240" w:lineRule="auto"/>
        <w:ind w:left="3119" w:hanging="2693"/>
      </w:pPr>
      <w:bookmarkStart w:id="392" w:name="_Toc41325341"/>
      <w:bookmarkStart w:id="393" w:name="_Toc41332785"/>
      <w:bookmarkStart w:id="394" w:name="_Toc41411931"/>
      <w:r w:rsidRPr="003C1CF3">
        <w:rPr>
          <w:b/>
          <w:bCs/>
        </w:rPr>
        <w:t>Recommendation 7:</w:t>
      </w:r>
      <w:r w:rsidR="00F4563A">
        <w:rPr>
          <w:b/>
          <w:bCs/>
        </w:rPr>
        <w:tab/>
      </w:r>
      <w:r w:rsidR="00001179" w:rsidRPr="003C1CF3">
        <w:rPr>
          <w:b/>
          <w:bCs/>
        </w:rPr>
        <w:t xml:space="preserve">Improve responses to people </w:t>
      </w:r>
      <w:r w:rsidR="005F6A62" w:rsidRPr="003C1CF3">
        <w:rPr>
          <w:b/>
          <w:bCs/>
        </w:rPr>
        <w:t xml:space="preserve">experiencing mental health issues </w:t>
      </w:r>
      <w:r w:rsidR="00001179" w:rsidRPr="003C1CF3">
        <w:rPr>
          <w:b/>
          <w:bCs/>
        </w:rPr>
        <w:t>who use family violence</w:t>
      </w:r>
      <w:bookmarkEnd w:id="392"/>
      <w:bookmarkEnd w:id="393"/>
      <w:bookmarkEnd w:id="394"/>
    </w:p>
    <w:p w14:paraId="3AA275B1" w14:textId="65D3C649" w:rsidR="00001179" w:rsidRPr="003C1CF3" w:rsidRDefault="00001179" w:rsidP="00E96257">
      <w:pPr>
        <w:shd w:val="clear" w:color="auto" w:fill="DEEAF6" w:themeFill="accent5" w:themeFillTint="33"/>
        <w:spacing w:before="240"/>
        <w:ind w:left="426"/>
      </w:pPr>
      <w:r w:rsidRPr="003C1CF3">
        <w:t xml:space="preserve">The Victorian Government should provide guidance to require all aspects of the mental health </w:t>
      </w:r>
      <w:r w:rsidR="00897676" w:rsidRPr="003C1CF3">
        <w:t>and justice</w:t>
      </w:r>
      <w:r w:rsidRPr="003C1CF3">
        <w:t xml:space="preserve"> system</w:t>
      </w:r>
      <w:r w:rsidR="00897676" w:rsidRPr="003C1CF3">
        <w:t>s</w:t>
      </w:r>
      <w:r w:rsidRPr="003C1CF3">
        <w:t xml:space="preserve"> (e.g. mental health services, Victoria Police, courts) to improve their responses to people who use family violence and are experiencing mental health issues</w:t>
      </w:r>
      <w:r w:rsidR="004A247E" w:rsidRPr="003C1CF3">
        <w:t>.</w:t>
      </w:r>
    </w:p>
    <w:p w14:paraId="47CC822E" w14:textId="5635C0CC" w:rsidR="00D51218" w:rsidRDefault="00D51218" w:rsidP="00890800">
      <w:pPr>
        <w:pStyle w:val="Heading2"/>
      </w:pPr>
      <w:bookmarkStart w:id="395" w:name="_Toc41651951"/>
      <w:r>
        <w:t>Reducing regional inequalities</w:t>
      </w:r>
      <w:bookmarkEnd w:id="395"/>
    </w:p>
    <w:p w14:paraId="6B1B4B73" w14:textId="581928F2" w:rsidR="00D51218" w:rsidRDefault="00D51218" w:rsidP="00C65180">
      <w:r>
        <w:rPr>
          <w:lang w:eastAsia="en-AU"/>
        </w:rPr>
        <w:t>Through our work we see that there are regional disparities between metropolitan and regional areas,</w:t>
      </w:r>
      <w:r w:rsidR="00314254">
        <w:rPr>
          <w:rStyle w:val="FootnoteReference"/>
          <w:lang w:eastAsia="en-AU"/>
        </w:rPr>
        <w:footnoteReference w:id="31"/>
      </w:r>
      <w:r>
        <w:rPr>
          <w:lang w:eastAsia="en-AU"/>
        </w:rPr>
        <w:t xml:space="preserve"> including</w:t>
      </w:r>
      <w:r w:rsidR="00314254">
        <w:rPr>
          <w:lang w:eastAsia="en-AU"/>
        </w:rPr>
        <w:t xml:space="preserve"> </w:t>
      </w:r>
      <w:r w:rsidRPr="007E57AA">
        <w:t>access</w:t>
      </w:r>
      <w:r>
        <w:t xml:space="preserve"> to services</w:t>
      </w:r>
      <w:r w:rsidR="00314254">
        <w:t xml:space="preserve"> (</w:t>
      </w:r>
      <w:r>
        <w:t>particularly specialist mental health services</w:t>
      </w:r>
      <w:r w:rsidR="00314254">
        <w:t xml:space="preserve">), mental health treatment </w:t>
      </w:r>
      <w:r w:rsidR="00263B5B">
        <w:t xml:space="preserve">in border towns, including </w:t>
      </w:r>
      <w:r w:rsidR="00723D25">
        <w:t xml:space="preserve">when people are </w:t>
      </w:r>
      <w:r w:rsidR="00402351">
        <w:t xml:space="preserve">transferred interstate (e.g. </w:t>
      </w:r>
      <w:r w:rsidR="00723D25">
        <w:t xml:space="preserve">Victorian </w:t>
      </w:r>
      <w:r w:rsidR="007A68F8">
        <w:t>consumers</w:t>
      </w:r>
      <w:r w:rsidR="00723D25">
        <w:t xml:space="preserve"> admitted to Nolan House in </w:t>
      </w:r>
      <w:r w:rsidR="00A278D4">
        <w:t xml:space="preserve">Albury, </w:t>
      </w:r>
      <w:r w:rsidR="00723D25">
        <w:t xml:space="preserve">NSW cannot access </w:t>
      </w:r>
      <w:r w:rsidR="00402351">
        <w:t xml:space="preserve">Victorian-based </w:t>
      </w:r>
      <w:r w:rsidR="00723D25">
        <w:t>services such as IMHA, a</w:t>
      </w:r>
      <w:r w:rsidR="00402351">
        <w:t>nd there are no equivalent supports in NSW)</w:t>
      </w:r>
      <w:r w:rsidR="00314254">
        <w:t xml:space="preserve">, and </w:t>
      </w:r>
      <w:r>
        <w:t>isolation and separation from family and community when accessing inpatient units.</w:t>
      </w:r>
    </w:p>
    <w:p w14:paraId="2B7148BA" w14:textId="5C27591C" w:rsidR="00045A39" w:rsidRDefault="00180EA9" w:rsidP="00C65180">
      <w:r>
        <w:t>There are a range of</w:t>
      </w:r>
      <w:r w:rsidR="008675E2">
        <w:t xml:space="preserve"> </w:t>
      </w:r>
      <w:r>
        <w:t xml:space="preserve">innovative options </w:t>
      </w:r>
      <w:r w:rsidR="00736790">
        <w:t>with potential</w:t>
      </w:r>
      <w:r>
        <w:t xml:space="preserve"> to improve access to mental healthcare in regional Victoria</w:t>
      </w:r>
      <w:r w:rsidR="00420E2E">
        <w:t>. For example</w:t>
      </w:r>
      <w:r w:rsidR="00314254">
        <w:t xml:space="preserve">, </w:t>
      </w:r>
      <w:r w:rsidR="008A1C6C">
        <w:t xml:space="preserve">increasing capacity of GPs, mental health workers and support </w:t>
      </w:r>
      <w:r w:rsidR="008A1C6C">
        <w:lastRenderedPageBreak/>
        <w:t>workers in regional Victoria</w:t>
      </w:r>
      <w:r w:rsidR="00420E2E">
        <w:t xml:space="preserve"> to provide mental health supports</w:t>
      </w:r>
      <w:r w:rsidR="006F7B88">
        <w:t>.</w:t>
      </w:r>
      <w:r w:rsidR="00314254">
        <w:t xml:space="preserve"> </w:t>
      </w:r>
      <w:r w:rsidR="7C0DD55D">
        <w:t>VLA supports</w:t>
      </w:r>
      <w:r w:rsidR="05DFB620">
        <w:t xml:space="preserve"> </w:t>
      </w:r>
      <w:r w:rsidR="7C0DD55D">
        <w:t xml:space="preserve">increased </w:t>
      </w:r>
      <w:r w:rsidR="002C2C5A">
        <w:t xml:space="preserve">resourcing </w:t>
      </w:r>
      <w:r w:rsidR="18AC6433">
        <w:t xml:space="preserve">of </w:t>
      </w:r>
      <w:r w:rsidR="001B0687">
        <w:t xml:space="preserve">designated mental health services to provide more outreach </w:t>
      </w:r>
      <w:r w:rsidR="002C2C5A">
        <w:t>services</w:t>
      </w:r>
      <w:r w:rsidR="001B0687">
        <w:t xml:space="preserve"> in</w:t>
      </w:r>
      <w:r w:rsidR="001B0687" w:rsidDel="002C2C5A">
        <w:t xml:space="preserve"> </w:t>
      </w:r>
      <w:r w:rsidR="001B0687">
        <w:t>remote areas</w:t>
      </w:r>
      <w:r w:rsidR="00314254">
        <w:t xml:space="preserve">, or </w:t>
      </w:r>
      <w:r>
        <w:t xml:space="preserve">effective partnerships </w:t>
      </w:r>
      <w:r w:rsidR="00420E2E">
        <w:t xml:space="preserve">between local services in country Victoria </w:t>
      </w:r>
      <w:r>
        <w:t>with specialist services</w:t>
      </w:r>
      <w:r w:rsidR="00420E2E">
        <w:t xml:space="preserve"> in </w:t>
      </w:r>
      <w:r w:rsidR="00045A39">
        <w:t>Melbourne</w:t>
      </w:r>
      <w:r w:rsidR="00314254">
        <w:t xml:space="preserve"> (</w:t>
      </w:r>
      <w:r w:rsidR="00406333">
        <w:t>including effective referral and consultation pathways to ensure access</w:t>
      </w:r>
      <w:r w:rsidR="00314254">
        <w:t xml:space="preserve">). Increasing access to </w:t>
      </w:r>
      <w:r>
        <w:t xml:space="preserve">telehealth, </w:t>
      </w:r>
      <w:r w:rsidR="00045A39">
        <w:t>webchat and other remote mental health support options</w:t>
      </w:r>
      <w:r w:rsidR="00314254">
        <w:t xml:space="preserve"> could also be further explored</w:t>
      </w:r>
      <w:r w:rsidR="00045A39">
        <w:t>, where appropriate</w:t>
      </w:r>
      <w:r w:rsidR="00AE617A">
        <w:t>.</w:t>
      </w:r>
    </w:p>
    <w:p w14:paraId="346A7394" w14:textId="0802537D" w:rsidR="00216FB8" w:rsidRDefault="00216FB8" w:rsidP="00904F90">
      <w:pPr>
        <w:pStyle w:val="Listbulletcoloured"/>
        <w:numPr>
          <w:ilvl w:val="0"/>
          <w:numId w:val="0"/>
        </w:numPr>
      </w:pPr>
      <w:r>
        <w:t xml:space="preserve">The Victorian Government should also </w:t>
      </w:r>
      <w:r w:rsidR="008E6DFF">
        <w:t xml:space="preserve">work with </w:t>
      </w:r>
      <w:r w:rsidR="00BE260A">
        <w:t xml:space="preserve">other state and territory governments to support the smooth transition of mental health supports for people who move to or from Victoria. </w:t>
      </w:r>
      <w:r w:rsidR="002C2C5A">
        <w:t>R</w:t>
      </w:r>
      <w:r w:rsidR="006C5FE9">
        <w:t>egional approaches need to consider how to ensure continui</w:t>
      </w:r>
      <w:r w:rsidR="002B5C1A">
        <w:t>ty</w:t>
      </w:r>
      <w:r w:rsidR="006C5FE9">
        <w:t xml:space="preserve"> of </w:t>
      </w:r>
      <w:r w:rsidR="008E6DFF">
        <w:t>mental health supports</w:t>
      </w:r>
      <w:r w:rsidR="006C5FE9">
        <w:t xml:space="preserve"> in cross-border locations </w:t>
      </w:r>
      <w:r w:rsidR="007A0AEA">
        <w:t>(e.g. Albury-Wodonga, Mildura)</w:t>
      </w:r>
      <w:r w:rsidR="002C2C5A">
        <w:t>, where people may be caught between overlapping or inconsistent</w:t>
      </w:r>
      <w:r w:rsidR="006D6E01" w:rsidDel="002C2C5A">
        <w:t xml:space="preserve"> </w:t>
      </w:r>
      <w:r w:rsidR="006D6E01">
        <w:t>service systems and legislative frameworks</w:t>
      </w:r>
      <w:r w:rsidR="008E6DFF">
        <w:t>.</w:t>
      </w:r>
      <w:r w:rsidR="009A716B">
        <w:t xml:space="preserve"> </w:t>
      </w:r>
      <w:r w:rsidR="00025509">
        <w:t>DHHS</w:t>
      </w:r>
      <w:r w:rsidR="009A716B" w:rsidRPr="009A716B">
        <w:t xml:space="preserve"> should use local demographic data as a starting point for designing co-produced mental health services.</w:t>
      </w:r>
    </w:p>
    <w:p w14:paraId="1B5D4BF6" w14:textId="150E54DC" w:rsidR="00D51218" w:rsidRPr="001028B6" w:rsidRDefault="00D51218" w:rsidP="00833F8F">
      <w:pPr>
        <w:shd w:val="clear" w:color="auto" w:fill="DEEAF6" w:themeFill="accent5" w:themeFillTint="33"/>
        <w:ind w:left="3119" w:hanging="2693"/>
      </w:pPr>
      <w:bookmarkStart w:id="396" w:name="_Toc41325342"/>
      <w:bookmarkStart w:id="397" w:name="_Toc41332786"/>
      <w:bookmarkStart w:id="398" w:name="_Toc41411932"/>
      <w:r w:rsidRPr="003C1CF3">
        <w:rPr>
          <w:b/>
          <w:bCs/>
        </w:rPr>
        <w:t>R</w:t>
      </w:r>
      <w:r w:rsidR="003C1CF3" w:rsidRPr="003C1CF3">
        <w:rPr>
          <w:b/>
          <w:bCs/>
        </w:rPr>
        <w:t xml:space="preserve">ecommendation 8: </w:t>
      </w:r>
      <w:r w:rsidR="00F4563A">
        <w:rPr>
          <w:b/>
          <w:bCs/>
        </w:rPr>
        <w:tab/>
      </w:r>
      <w:r w:rsidR="003C1CF3" w:rsidRPr="003C1CF3">
        <w:rPr>
          <w:b/>
          <w:bCs/>
        </w:rPr>
        <w:t>R</w:t>
      </w:r>
      <w:r w:rsidRPr="003C1CF3">
        <w:rPr>
          <w:b/>
          <w:bCs/>
        </w:rPr>
        <w:t xml:space="preserve">espond to local </w:t>
      </w:r>
      <w:r w:rsidR="007560D0" w:rsidRPr="003C1CF3">
        <w:rPr>
          <w:b/>
          <w:bCs/>
        </w:rPr>
        <w:t xml:space="preserve">mental health </w:t>
      </w:r>
      <w:r w:rsidRPr="003C1CF3">
        <w:rPr>
          <w:b/>
          <w:bCs/>
        </w:rPr>
        <w:t>need in the regions</w:t>
      </w:r>
      <w:bookmarkEnd w:id="396"/>
      <w:bookmarkEnd w:id="397"/>
      <w:bookmarkEnd w:id="398"/>
    </w:p>
    <w:p w14:paraId="116A4F33" w14:textId="6C22EBE0" w:rsidR="00FB6A9A" w:rsidRPr="00833F8F" w:rsidRDefault="00D51218" w:rsidP="00833F8F">
      <w:pPr>
        <w:shd w:val="clear" w:color="auto" w:fill="DEEAF6" w:themeFill="accent5" w:themeFillTint="33"/>
        <w:ind w:left="426"/>
      </w:pPr>
      <w:r w:rsidRPr="003C1CF3">
        <w:t xml:space="preserve">The </w:t>
      </w:r>
      <w:r w:rsidR="009A716B" w:rsidRPr="003C1CF3">
        <w:t>Victorian Government</w:t>
      </w:r>
      <w:r w:rsidRPr="003C1CF3">
        <w:t xml:space="preserve"> should ensure people can access specialist and </w:t>
      </w:r>
      <w:proofErr w:type="gramStart"/>
      <w:r w:rsidRPr="003C1CF3">
        <w:t>high quality</w:t>
      </w:r>
      <w:proofErr w:type="gramEnd"/>
      <w:r w:rsidRPr="003C1CF3">
        <w:t xml:space="preserve"> mental health treatment across rural, regional and remote Victoria. </w:t>
      </w:r>
    </w:p>
    <w:p w14:paraId="3A6CDAB5" w14:textId="64423F92" w:rsidR="003A24D9" w:rsidRDefault="003A24D9" w:rsidP="00890800">
      <w:pPr>
        <w:pStyle w:val="Heading2"/>
      </w:pPr>
      <w:bookmarkStart w:id="399" w:name="_Toc41651952"/>
      <w:r w:rsidRPr="009C42C6">
        <w:t>Tailored</w:t>
      </w:r>
      <w:r>
        <w:t>,</w:t>
      </w:r>
      <w:r w:rsidRPr="009C42C6">
        <w:t xml:space="preserve"> culturally safe</w:t>
      </w:r>
      <w:r>
        <w:t xml:space="preserve"> and inclusive</w:t>
      </w:r>
      <w:r w:rsidRPr="009C42C6">
        <w:t xml:space="preserve"> services</w:t>
      </w:r>
      <w:bookmarkEnd w:id="399"/>
    </w:p>
    <w:p w14:paraId="7D0F3302" w14:textId="1CE13D63" w:rsidR="003A24D9" w:rsidRDefault="003A24D9" w:rsidP="003A24D9">
      <w:pPr>
        <w:rPr>
          <w:lang w:eastAsia="en-AU"/>
        </w:rPr>
      </w:pPr>
      <w:r>
        <w:t>VLA has advocated for system changes which reduce inequality and ensure Victorians have access to tailored, culturally safe services.</w:t>
      </w:r>
      <w:r>
        <w:rPr>
          <w:rStyle w:val="FootnoteReference"/>
        </w:rPr>
        <w:footnoteReference w:id="32"/>
      </w:r>
      <w:r>
        <w:t xml:space="preserve"> </w:t>
      </w:r>
      <w:r w:rsidRPr="006E24F1">
        <w:rPr>
          <w:lang w:eastAsia="en-AU"/>
        </w:rPr>
        <w:t xml:space="preserve">Mental health issues affect the whole community, but focused and targeted responses for groups within our community are needed </w:t>
      </w:r>
      <w:r>
        <w:rPr>
          <w:lang w:eastAsia="en-AU"/>
        </w:rPr>
        <w:t>for</w:t>
      </w:r>
      <w:r w:rsidRPr="006E24F1">
        <w:rPr>
          <w:lang w:eastAsia="en-AU"/>
        </w:rPr>
        <w:t xml:space="preserve"> everybody </w:t>
      </w:r>
      <w:r>
        <w:rPr>
          <w:lang w:eastAsia="en-AU"/>
        </w:rPr>
        <w:t>to equally</w:t>
      </w:r>
      <w:r w:rsidRPr="006E24F1">
        <w:rPr>
          <w:lang w:eastAsia="en-AU"/>
        </w:rPr>
        <w:t xml:space="preserve"> access the care and support they need </w:t>
      </w:r>
      <w:r w:rsidR="007111C4">
        <w:rPr>
          <w:lang w:eastAsia="en-AU"/>
        </w:rPr>
        <w:t>for their</w:t>
      </w:r>
      <w:r w:rsidRPr="006E24F1">
        <w:rPr>
          <w:lang w:eastAsia="en-AU"/>
        </w:rPr>
        <w:t xml:space="preserve"> recover</w:t>
      </w:r>
      <w:r w:rsidR="007111C4">
        <w:rPr>
          <w:lang w:eastAsia="en-AU"/>
        </w:rPr>
        <w:t>y</w:t>
      </w:r>
      <w:r w:rsidRPr="006E24F1">
        <w:rPr>
          <w:lang w:eastAsia="en-AU"/>
        </w:rPr>
        <w:t>.</w:t>
      </w:r>
      <w:r>
        <w:rPr>
          <w:rStyle w:val="FootnoteReference"/>
          <w:lang w:eastAsia="en-AU"/>
        </w:rPr>
        <w:footnoteReference w:id="33"/>
      </w:r>
    </w:p>
    <w:p w14:paraId="4B24CB16" w14:textId="7D2D21D4" w:rsidR="003A24D9" w:rsidRDefault="003A24D9" w:rsidP="003A24D9">
      <w:pPr>
        <w:rPr>
          <w:lang w:eastAsia="en-AU"/>
        </w:rPr>
      </w:pPr>
      <w:r>
        <w:rPr>
          <w:lang w:eastAsia="en-AU"/>
        </w:rPr>
        <w:t>The Mental Health Act states that people receiving mental health services should have their individual needs recognised and responded to.</w:t>
      </w:r>
      <w:r>
        <w:rPr>
          <w:rStyle w:val="FootnoteReference"/>
        </w:rPr>
        <w:footnoteReference w:id="34"/>
      </w:r>
      <w:r>
        <w:rPr>
          <w:lang w:eastAsia="en-AU"/>
        </w:rPr>
        <w:t xml:space="preserve"> In practice, our consumers and clients report that this is too often not reflected in their experience. Inpatient units</w:t>
      </w:r>
      <w:proofErr w:type="gramStart"/>
      <w:r>
        <w:rPr>
          <w:lang w:eastAsia="en-AU"/>
        </w:rPr>
        <w:t>, in particular, are</w:t>
      </w:r>
      <w:proofErr w:type="gramEnd"/>
      <w:r>
        <w:rPr>
          <w:lang w:eastAsia="en-AU"/>
        </w:rPr>
        <w:t xml:space="preserve"> often ill-equipped and poorly resourced to safely respond to people’s diverse and intersecting needs.</w:t>
      </w:r>
      <w:r>
        <w:rPr>
          <w:rFonts w:ascii="Times New Roman" w:hAnsi="Times New Roman"/>
          <w:sz w:val="24"/>
          <w:lang w:eastAsia="en-AU"/>
        </w:rPr>
        <w:t xml:space="preserve"> </w:t>
      </w:r>
      <w:r w:rsidRPr="00DB38B3">
        <w:rPr>
          <w:lang w:eastAsia="en-AU"/>
        </w:rPr>
        <w:t>Mental health services</w:t>
      </w:r>
      <w:r>
        <w:rPr>
          <w:lang w:eastAsia="en-AU"/>
        </w:rPr>
        <w:t xml:space="preserve"> also</w:t>
      </w:r>
      <w:r w:rsidRPr="00DB38B3">
        <w:rPr>
          <w:lang w:eastAsia="en-AU"/>
        </w:rPr>
        <w:t xml:space="preserve"> have obligations under the </w:t>
      </w:r>
      <w:r w:rsidRPr="00DB38B3">
        <w:rPr>
          <w:i/>
          <w:iCs/>
          <w:lang w:eastAsia="en-AU"/>
        </w:rPr>
        <w:t xml:space="preserve">Equal Opportunity Act </w:t>
      </w:r>
      <w:r w:rsidRPr="00833F8F">
        <w:rPr>
          <w:i/>
          <w:iCs/>
          <w:lang w:eastAsia="en-AU"/>
        </w:rPr>
        <w:t>(2010)</w:t>
      </w:r>
      <w:r w:rsidRPr="00DB38B3">
        <w:rPr>
          <w:lang w:eastAsia="en-AU"/>
        </w:rPr>
        <w:t xml:space="preserve"> </w:t>
      </w:r>
      <w:r w:rsidR="003E7B73">
        <w:rPr>
          <w:lang w:eastAsia="en-AU"/>
        </w:rPr>
        <w:t xml:space="preserve">(Vic) </w:t>
      </w:r>
      <w:r w:rsidR="00F67A8B">
        <w:rPr>
          <w:lang w:eastAsia="en-AU"/>
        </w:rPr>
        <w:t>(</w:t>
      </w:r>
      <w:r w:rsidR="00F67A8B" w:rsidRPr="0067457F">
        <w:rPr>
          <w:b/>
          <w:bCs/>
          <w:lang w:eastAsia="en-AU"/>
        </w:rPr>
        <w:t>EOA</w:t>
      </w:r>
      <w:r w:rsidR="00F67A8B">
        <w:rPr>
          <w:lang w:eastAsia="en-AU"/>
        </w:rPr>
        <w:t xml:space="preserve">) </w:t>
      </w:r>
      <w:r w:rsidRPr="00DB38B3">
        <w:rPr>
          <w:lang w:eastAsia="en-AU"/>
        </w:rPr>
        <w:t xml:space="preserve">not to discriminate against consumers </w:t>
      </w:r>
      <w:proofErr w:type="gramStart"/>
      <w:r w:rsidRPr="00DB38B3">
        <w:rPr>
          <w:lang w:eastAsia="en-AU"/>
        </w:rPr>
        <w:t>on the basis of</w:t>
      </w:r>
      <w:proofErr w:type="gramEnd"/>
      <w:r w:rsidRPr="00DB38B3">
        <w:rPr>
          <w:lang w:eastAsia="en-AU"/>
        </w:rPr>
        <w:t xml:space="preserve"> </w:t>
      </w:r>
      <w:r>
        <w:rPr>
          <w:lang w:eastAsia="en-AU"/>
        </w:rPr>
        <w:t>protected</w:t>
      </w:r>
      <w:r w:rsidRPr="00DB38B3">
        <w:rPr>
          <w:lang w:eastAsia="en-AU"/>
        </w:rPr>
        <w:t xml:space="preserve"> attributes</w:t>
      </w:r>
      <w:r>
        <w:rPr>
          <w:lang w:eastAsia="en-AU"/>
        </w:rPr>
        <w:t xml:space="preserve"> (see </w:t>
      </w:r>
      <w:r w:rsidRPr="00A8253C">
        <w:rPr>
          <w:lang w:eastAsia="en-AU"/>
        </w:rPr>
        <w:t xml:space="preserve">section </w:t>
      </w:r>
      <w:r w:rsidR="00134CAE" w:rsidRPr="00A8253C">
        <w:rPr>
          <w:lang w:eastAsia="en-AU"/>
        </w:rPr>
        <w:t>6</w:t>
      </w:r>
      <w:r>
        <w:rPr>
          <w:lang w:eastAsia="en-AU"/>
        </w:rPr>
        <w:t>)</w:t>
      </w:r>
      <w:r w:rsidRPr="00DB38B3">
        <w:rPr>
          <w:lang w:eastAsia="en-AU"/>
        </w:rPr>
        <w:t>.</w:t>
      </w:r>
      <w:r>
        <w:rPr>
          <w:rStyle w:val="FootnoteReference"/>
          <w:lang w:eastAsia="en-AU"/>
        </w:rPr>
        <w:footnoteReference w:id="35"/>
      </w:r>
    </w:p>
    <w:p w14:paraId="4F731F0A" w14:textId="6DA40206" w:rsidR="009621F8" w:rsidRDefault="009621F8" w:rsidP="008B2CA7">
      <w:pPr>
        <w:pStyle w:val="Heading3"/>
      </w:pPr>
      <w:r w:rsidRPr="008B2CA7">
        <w:t>Cultural</w:t>
      </w:r>
      <w:r>
        <w:t xml:space="preserve"> change within mental health services</w:t>
      </w:r>
    </w:p>
    <w:p w14:paraId="43889E19" w14:textId="77777777" w:rsidR="00EC41F0" w:rsidRDefault="00EC41F0" w:rsidP="00EC41F0">
      <w:pPr>
        <w:pStyle w:val="Listbulletcoloured"/>
        <w:numPr>
          <w:ilvl w:val="0"/>
          <w:numId w:val="0"/>
        </w:numPr>
      </w:pPr>
      <w:r>
        <w:t>Through VLA’s practice experience, we have seen the need for mental health services to improve their service delivery to provide tailored, safe and inclusive services for Aboriginal and Torres Strait Islander people, people from culturally and linguistically diverse communities,</w:t>
      </w:r>
      <w:r w:rsidRPr="00DB38B3">
        <w:rPr>
          <w:vertAlign w:val="superscript"/>
        </w:rPr>
        <w:footnoteReference w:id="36"/>
      </w:r>
      <w:r>
        <w:t xml:space="preserve"> people who </w:t>
      </w:r>
      <w:r>
        <w:lastRenderedPageBreak/>
        <w:t>experience and use family violence,</w:t>
      </w:r>
      <w:r>
        <w:rPr>
          <w:rStyle w:val="FootnoteReference"/>
        </w:rPr>
        <w:footnoteReference w:id="37"/>
      </w:r>
      <w:r>
        <w:t xml:space="preserve"> LGBTIQ+ communities,</w:t>
      </w:r>
      <w:r>
        <w:rPr>
          <w:rStyle w:val="FootnoteReference"/>
        </w:rPr>
        <w:footnoteReference w:id="38"/>
      </w:r>
      <w:r>
        <w:t xml:space="preserve"> older people,</w:t>
      </w:r>
      <w:r w:rsidRPr="00F33288">
        <w:rPr>
          <w:vertAlign w:val="superscript"/>
        </w:rPr>
        <w:footnoteReference w:id="39"/>
      </w:r>
      <w:r>
        <w:t xml:space="preserve"> women,</w:t>
      </w:r>
      <w:r>
        <w:rPr>
          <w:rStyle w:val="FootnoteReference"/>
        </w:rPr>
        <w:footnoteReference w:id="40"/>
      </w:r>
      <w:r>
        <w:t xml:space="preserve"> and people with co-existing issues (e.g. </w:t>
      </w:r>
      <w:r w:rsidRPr="00785AF7">
        <w:t xml:space="preserve">problematic drug and/or alcohol use, problem gambling, disability, </w:t>
      </w:r>
      <w:r>
        <w:t>Acquired Brain Injury (</w:t>
      </w:r>
      <w:r w:rsidRPr="00EE1295">
        <w:rPr>
          <w:b/>
          <w:bCs/>
        </w:rPr>
        <w:t>ABI</w:t>
      </w:r>
      <w:r>
        <w:t xml:space="preserve">), </w:t>
      </w:r>
      <w:proofErr w:type="spellStart"/>
      <w:r w:rsidRPr="00785AF7">
        <w:t>neurodiverse</w:t>
      </w:r>
      <w:proofErr w:type="spellEnd"/>
      <w:r w:rsidRPr="00785AF7">
        <w:t xml:space="preserve"> consumers, people diagnosed with personality disorders</w:t>
      </w:r>
      <w:r>
        <w:t>).</w:t>
      </w:r>
      <w:r>
        <w:rPr>
          <w:rStyle w:val="FootnoteReference"/>
        </w:rPr>
        <w:footnoteReference w:id="41"/>
      </w:r>
    </w:p>
    <w:p w14:paraId="7F4A59E9" w14:textId="0F12EB87" w:rsidR="00A367AA" w:rsidRDefault="00A367AA" w:rsidP="003A24D9">
      <w:pPr>
        <w:rPr>
          <w:lang w:eastAsia="en-AU"/>
        </w:rPr>
      </w:pPr>
      <w:r>
        <w:rPr>
          <w:lang w:eastAsia="en-AU"/>
        </w:rPr>
        <w:t xml:space="preserve">Key recommendations for change include </w:t>
      </w:r>
      <w:r w:rsidR="001D741A">
        <w:rPr>
          <w:lang w:eastAsia="en-AU"/>
        </w:rPr>
        <w:t>developing</w:t>
      </w:r>
      <w:r>
        <w:rPr>
          <w:lang w:eastAsia="en-AU"/>
        </w:rPr>
        <w:t xml:space="preserve"> mechanisms to effectively embed tailored, safe and inclusive service delivery across the mental health system</w:t>
      </w:r>
      <w:r w:rsidR="007F69BD">
        <w:rPr>
          <w:lang w:eastAsia="en-AU"/>
        </w:rPr>
        <w:t>. This should include</w:t>
      </w:r>
      <w:r>
        <w:rPr>
          <w:lang w:eastAsia="en-AU"/>
        </w:rPr>
        <w:t>:</w:t>
      </w:r>
    </w:p>
    <w:p w14:paraId="2770122C" w14:textId="63E24BB8" w:rsidR="00A367AA" w:rsidRDefault="00A367AA" w:rsidP="00904F90">
      <w:pPr>
        <w:pStyle w:val="Listbulletcoloured"/>
      </w:pPr>
      <w:r w:rsidRPr="00904F90">
        <w:t>Mandatory</w:t>
      </w:r>
      <w:r>
        <w:t xml:space="preserve"> training for mental health workers to respond to individual needs</w:t>
      </w:r>
      <w:r w:rsidR="0060463B">
        <w:t>;</w:t>
      </w:r>
      <w:r w:rsidR="0060463B">
        <w:rPr>
          <w:rStyle w:val="FootnoteReference"/>
        </w:rPr>
        <w:footnoteReference w:id="42"/>
      </w:r>
    </w:p>
    <w:p w14:paraId="1246B9F3" w14:textId="7F0B3FC0" w:rsidR="00A367AA" w:rsidRPr="004F7C7B" w:rsidRDefault="00A367AA" w:rsidP="00904F90">
      <w:pPr>
        <w:pStyle w:val="Listbulletcoloured"/>
      </w:pPr>
      <w:r>
        <w:t>Development of practice guides, policies and procedures which respond to the local need for each service</w:t>
      </w:r>
      <w:r w:rsidR="00B94960">
        <w:t xml:space="preserve"> (e.g. addressing racism, unconscious bias and racial literacy for consumers from culturally and linguistically diverse communities);</w:t>
      </w:r>
    </w:p>
    <w:p w14:paraId="6D999E3C" w14:textId="5CA65F47" w:rsidR="00B94960" w:rsidRDefault="00B94960" w:rsidP="00904F90">
      <w:pPr>
        <w:pStyle w:val="Listbulletcoloured"/>
      </w:pPr>
      <w:r>
        <w:t xml:space="preserve">Embedding consumer leadership and a lived experience workforce at all </w:t>
      </w:r>
      <w:r w:rsidR="004B745D">
        <w:t xml:space="preserve">levels </w:t>
      </w:r>
      <w:r>
        <w:t xml:space="preserve">of mental health services and the system </w:t>
      </w:r>
      <w:r w:rsidR="00A36627">
        <w:t xml:space="preserve">with consumers from diverse communities </w:t>
      </w:r>
      <w:r>
        <w:t>(see section 1);</w:t>
      </w:r>
    </w:p>
    <w:p w14:paraId="5A536211" w14:textId="7F39B429" w:rsidR="00287658" w:rsidRDefault="00A367AA" w:rsidP="00904F90">
      <w:pPr>
        <w:pStyle w:val="Listbulletcoloured"/>
      </w:pPr>
      <w:r>
        <w:t>Appropriate funding for services to effectively implement these measures</w:t>
      </w:r>
      <w:r w:rsidR="00514824">
        <w:t xml:space="preserve"> including training and infrastructure to ensure physical safety</w:t>
      </w:r>
      <w:r w:rsidR="001709D0">
        <w:t xml:space="preserve"> within inpatient units</w:t>
      </w:r>
      <w:r>
        <w:t>;</w:t>
      </w:r>
    </w:p>
    <w:p w14:paraId="39DE4321" w14:textId="7E6D3FF4" w:rsidR="002F66A5" w:rsidRDefault="002F66A5" w:rsidP="00904F90">
      <w:pPr>
        <w:pStyle w:val="Listbulletcoloured"/>
      </w:pPr>
      <w:r>
        <w:t>Expanding capabilities of specialist</w:t>
      </w:r>
      <w:r w:rsidR="00E301B8">
        <w:t>, including dual-treatment,</w:t>
      </w:r>
      <w:r>
        <w:t xml:space="preserve"> services</w:t>
      </w:r>
      <w:r w:rsidR="00E301B8">
        <w:t>;</w:t>
      </w:r>
    </w:p>
    <w:p w14:paraId="33D5408E" w14:textId="77777777" w:rsidR="005325F2" w:rsidRDefault="00CB57DC" w:rsidP="00904F90">
      <w:pPr>
        <w:pStyle w:val="Listbulletcoloured"/>
      </w:pPr>
      <w:r>
        <w:t>Improv</w:t>
      </w:r>
      <w:r w:rsidR="009D1E14">
        <w:t>ing</w:t>
      </w:r>
      <w:r>
        <w:t xml:space="preserve"> coordination between</w:t>
      </w:r>
      <w:r w:rsidR="00EA53A7">
        <w:t xml:space="preserve"> mental health and </w:t>
      </w:r>
      <w:r w:rsidR="00E32BC0">
        <w:t xml:space="preserve">intersecting services to ensure </w:t>
      </w:r>
      <w:r w:rsidR="00016A31">
        <w:t>seamless</w:t>
      </w:r>
      <w:r w:rsidR="00E32BC0">
        <w:t xml:space="preserve"> </w:t>
      </w:r>
      <w:r w:rsidR="00E77E08">
        <w:t xml:space="preserve">and </w:t>
      </w:r>
      <w:r w:rsidR="00016A31">
        <w:t>integrated</w:t>
      </w:r>
      <w:r w:rsidR="00E77E08">
        <w:t xml:space="preserve"> care;</w:t>
      </w:r>
    </w:p>
    <w:p w14:paraId="321D90C4" w14:textId="26D7338F" w:rsidR="00A367AA" w:rsidRDefault="00227D70" w:rsidP="00904F90">
      <w:pPr>
        <w:pStyle w:val="Listbulletcoloured"/>
      </w:pPr>
      <w:r>
        <w:t>Ensuring services are designed to provide flexible and responsive servi</w:t>
      </w:r>
      <w:r w:rsidR="00C97FFA">
        <w:t xml:space="preserve">ces that </w:t>
      </w:r>
      <w:r w:rsidR="006953B3">
        <w:t>can be adapted to provide what the consumer wants (i.e. rather than a ‘one size fits all’ approach</w:t>
      </w:r>
      <w:r w:rsidR="004B3BD7">
        <w:t>)</w:t>
      </w:r>
      <w:r w:rsidR="00E26127">
        <w:t>, recognising</w:t>
      </w:r>
      <w:r w:rsidR="00402856">
        <w:t xml:space="preserve"> diverse and</w:t>
      </w:r>
      <w:r w:rsidR="00E26127">
        <w:t xml:space="preserve"> </w:t>
      </w:r>
      <w:r w:rsidR="00402856">
        <w:t>intersecting needs</w:t>
      </w:r>
      <w:r w:rsidR="004B3BD7">
        <w:t>;</w:t>
      </w:r>
      <w:r w:rsidR="00A36627">
        <w:t xml:space="preserve"> </w:t>
      </w:r>
      <w:r w:rsidR="00A367AA">
        <w:t>and</w:t>
      </w:r>
    </w:p>
    <w:p w14:paraId="0BE058C5" w14:textId="0AC8B78C" w:rsidR="00A367AA" w:rsidRDefault="00A367AA" w:rsidP="00904F90">
      <w:pPr>
        <w:pStyle w:val="Listbulletcoloured"/>
      </w:pPr>
      <w:r>
        <w:t>Monitoring and evaluation frameworks to ensure effective implement</w:t>
      </w:r>
      <w:r w:rsidR="00284AE7">
        <w:t>ation</w:t>
      </w:r>
      <w:r w:rsidR="00E90C49">
        <w:t xml:space="preserve"> of inclusive training and policies</w:t>
      </w:r>
      <w:r>
        <w:t>, with independent oversight for both individual complaints and systemic investigations.</w:t>
      </w:r>
      <w:r w:rsidR="007D0AE4">
        <w:rPr>
          <w:rStyle w:val="FootnoteReference"/>
        </w:rPr>
        <w:footnoteReference w:id="43"/>
      </w:r>
    </w:p>
    <w:p w14:paraId="2262F60F" w14:textId="20C6810C" w:rsidR="00785AF7" w:rsidRPr="003C1CF3" w:rsidRDefault="003C1CF3" w:rsidP="00833F8F">
      <w:pPr>
        <w:shd w:val="clear" w:color="auto" w:fill="DEEAF6" w:themeFill="accent5" w:themeFillTint="33"/>
        <w:spacing w:before="240" w:line="240" w:lineRule="auto"/>
        <w:ind w:left="3119" w:hanging="2693"/>
      </w:pPr>
      <w:bookmarkStart w:id="400" w:name="_Toc41325343"/>
      <w:bookmarkStart w:id="401" w:name="_Toc41332788"/>
      <w:bookmarkStart w:id="402" w:name="_Toc41411933"/>
      <w:r w:rsidRPr="003C1CF3">
        <w:rPr>
          <w:b/>
          <w:bCs/>
        </w:rPr>
        <w:t xml:space="preserve">Recommendation 9: </w:t>
      </w:r>
      <w:r w:rsidR="00F4563A">
        <w:rPr>
          <w:b/>
          <w:bCs/>
        </w:rPr>
        <w:tab/>
      </w:r>
      <w:r w:rsidR="00FE61CA" w:rsidRPr="003C1CF3">
        <w:rPr>
          <w:b/>
          <w:bCs/>
        </w:rPr>
        <w:t>Secure</w:t>
      </w:r>
      <w:r w:rsidR="5BC82330" w:rsidRPr="003C1CF3">
        <w:rPr>
          <w:b/>
          <w:bCs/>
        </w:rPr>
        <w:t>,</w:t>
      </w:r>
      <w:r w:rsidR="00FE61CA" w:rsidRPr="003C1CF3">
        <w:rPr>
          <w:b/>
          <w:bCs/>
        </w:rPr>
        <w:t xml:space="preserve"> s</w:t>
      </w:r>
      <w:r w:rsidR="00BB5A31" w:rsidRPr="003C1CF3">
        <w:rPr>
          <w:b/>
          <w:bCs/>
        </w:rPr>
        <w:t>afe and r</w:t>
      </w:r>
      <w:r w:rsidR="00785AF7" w:rsidRPr="003C1CF3">
        <w:rPr>
          <w:b/>
          <w:bCs/>
        </w:rPr>
        <w:t>esponsive mental health services for diverse communities</w:t>
      </w:r>
      <w:bookmarkEnd w:id="400"/>
      <w:bookmarkEnd w:id="401"/>
      <w:bookmarkEnd w:id="402"/>
    </w:p>
    <w:p w14:paraId="4986721E" w14:textId="498F2AF2" w:rsidR="00785AF7" w:rsidRPr="003C1CF3" w:rsidRDefault="00785AF7" w:rsidP="00833F8F">
      <w:pPr>
        <w:shd w:val="clear" w:color="auto" w:fill="DEEAF6" w:themeFill="accent5" w:themeFillTint="33"/>
        <w:ind w:left="426"/>
      </w:pPr>
      <w:r w:rsidRPr="003C1CF3">
        <w:t xml:space="preserve">The Department of Health and Human Services should require and fund mental health services to implement specific strategies to provide capacity building, policy development and training, and to ensure their service delivery is </w:t>
      </w:r>
      <w:r w:rsidR="00211C50" w:rsidRPr="003C1CF3">
        <w:t>trauma-informed,</w:t>
      </w:r>
      <w:r w:rsidRPr="003C1CF3">
        <w:t xml:space="preserve"> responsive and tailored to the diverse needs of the consumers accessing their services.</w:t>
      </w:r>
    </w:p>
    <w:p w14:paraId="7237E92C" w14:textId="68C7BCD6" w:rsidR="009621F8" w:rsidRDefault="009621F8" w:rsidP="008B2CA7">
      <w:pPr>
        <w:pStyle w:val="Heading3"/>
      </w:pPr>
      <w:r>
        <w:lastRenderedPageBreak/>
        <w:t xml:space="preserve">Mental </w:t>
      </w:r>
      <w:r w:rsidRPr="008B2CA7">
        <w:t>health</w:t>
      </w:r>
      <w:r>
        <w:t xml:space="preserve"> capacity building for </w:t>
      </w:r>
      <w:r w:rsidR="009902BA">
        <w:t xml:space="preserve">intersecting </w:t>
      </w:r>
      <w:r>
        <w:t>services</w:t>
      </w:r>
    </w:p>
    <w:p w14:paraId="0DD44C92" w14:textId="77BEA476" w:rsidR="0052494F" w:rsidRDefault="009902BA" w:rsidP="00B94960">
      <w:pPr>
        <w:rPr>
          <w:lang w:eastAsia="en-AU"/>
        </w:rPr>
      </w:pPr>
      <w:r>
        <w:rPr>
          <w:lang w:eastAsia="en-AU"/>
        </w:rPr>
        <w:t>Intersecting</w:t>
      </w:r>
      <w:r w:rsidR="0052494F">
        <w:rPr>
          <w:lang w:eastAsia="en-AU"/>
        </w:rPr>
        <w:t xml:space="preserve"> services providing support for people experiencing mental health issues also need to have in place effective mechanisms, guidance and training to appropriately provide services that meet a person’s needs, including </w:t>
      </w:r>
      <w:r w:rsidR="00C46BDD">
        <w:rPr>
          <w:lang w:eastAsia="en-AU"/>
        </w:rPr>
        <w:t>where</w:t>
      </w:r>
      <w:r w:rsidR="0052494F">
        <w:rPr>
          <w:lang w:eastAsia="en-AU"/>
        </w:rPr>
        <w:t xml:space="preserve"> tailored or specialised response</w:t>
      </w:r>
      <w:r w:rsidR="00C46BDD">
        <w:rPr>
          <w:lang w:eastAsia="en-AU"/>
        </w:rPr>
        <w:t xml:space="preserve"> are required</w:t>
      </w:r>
      <w:r w:rsidR="0052494F">
        <w:rPr>
          <w:lang w:eastAsia="en-AU"/>
        </w:rPr>
        <w:t>. For example, ongoing training and capacity building about mental health issues should be required for all essential agencies and services that support people with mental health issues, including drug and alcohol services, disability support services, family violence services, housing providers</w:t>
      </w:r>
      <w:r w:rsidR="001D6EB3">
        <w:rPr>
          <w:lang w:eastAsia="en-AU"/>
        </w:rPr>
        <w:t xml:space="preserve"> </w:t>
      </w:r>
      <w:r w:rsidR="0052494F">
        <w:rPr>
          <w:lang w:eastAsia="en-AU"/>
        </w:rPr>
        <w:t xml:space="preserve">and legal </w:t>
      </w:r>
      <w:r w:rsidR="007D4931">
        <w:rPr>
          <w:lang w:eastAsia="en-AU"/>
        </w:rPr>
        <w:t>services</w:t>
      </w:r>
      <w:r w:rsidR="0052494F">
        <w:rPr>
          <w:lang w:eastAsia="en-AU"/>
        </w:rPr>
        <w:t>.</w:t>
      </w:r>
      <w:r w:rsidR="00EA358B">
        <w:rPr>
          <w:lang w:eastAsia="en-AU"/>
        </w:rPr>
        <w:t xml:space="preserve"> </w:t>
      </w:r>
    </w:p>
    <w:p w14:paraId="6C3CA133" w14:textId="293B6A24" w:rsidR="0052494F" w:rsidRPr="003C1CF3" w:rsidRDefault="003C1CF3" w:rsidP="00833F8F">
      <w:pPr>
        <w:shd w:val="clear" w:color="auto" w:fill="DEEAF6" w:themeFill="accent5" w:themeFillTint="33"/>
        <w:ind w:left="3119" w:hanging="2693"/>
      </w:pPr>
      <w:bookmarkStart w:id="403" w:name="_Toc40355733"/>
      <w:bookmarkStart w:id="404" w:name="_Toc41325344"/>
      <w:bookmarkStart w:id="405" w:name="_Toc41332792"/>
      <w:bookmarkStart w:id="406" w:name="_Toc41411934"/>
      <w:r w:rsidRPr="003C1CF3">
        <w:rPr>
          <w:b/>
          <w:bCs/>
        </w:rPr>
        <w:t>Recommendation 10:</w:t>
      </w:r>
      <w:r w:rsidR="00F4563A">
        <w:rPr>
          <w:b/>
          <w:bCs/>
        </w:rPr>
        <w:tab/>
      </w:r>
      <w:r w:rsidRPr="003C1CF3">
        <w:rPr>
          <w:b/>
          <w:bCs/>
        </w:rPr>
        <w:t xml:space="preserve"> </w:t>
      </w:r>
      <w:r w:rsidR="0052494F" w:rsidRPr="003C1CF3">
        <w:rPr>
          <w:b/>
          <w:bCs/>
        </w:rPr>
        <w:t xml:space="preserve">Build mental health support capacity of </w:t>
      </w:r>
      <w:r w:rsidR="007F3ED5" w:rsidRPr="003C1CF3">
        <w:rPr>
          <w:b/>
          <w:bCs/>
        </w:rPr>
        <w:t xml:space="preserve">intersecting </w:t>
      </w:r>
      <w:r w:rsidR="0052494F" w:rsidRPr="003C1CF3">
        <w:rPr>
          <w:b/>
          <w:bCs/>
        </w:rPr>
        <w:t>services</w:t>
      </w:r>
      <w:bookmarkEnd w:id="403"/>
      <w:bookmarkEnd w:id="404"/>
      <w:bookmarkEnd w:id="405"/>
      <w:bookmarkEnd w:id="406"/>
    </w:p>
    <w:p w14:paraId="0A232224" w14:textId="74AE8E52" w:rsidR="0052494F" w:rsidRPr="003C1CF3" w:rsidRDefault="0052494F" w:rsidP="00833F8F">
      <w:pPr>
        <w:shd w:val="clear" w:color="auto" w:fill="DEEAF6" w:themeFill="accent5" w:themeFillTint="33"/>
        <w:ind w:left="426"/>
      </w:pPr>
      <w:r w:rsidRPr="003C1CF3">
        <w:t xml:space="preserve">The Victorian Government should build the capacity of </w:t>
      </w:r>
      <w:r w:rsidR="007F3ED5" w:rsidRPr="003C1CF3">
        <w:t xml:space="preserve">intersecting </w:t>
      </w:r>
      <w:r w:rsidRPr="003C1CF3">
        <w:t xml:space="preserve">services to </w:t>
      </w:r>
      <w:r w:rsidR="009621F8" w:rsidRPr="003C1CF3">
        <w:t xml:space="preserve">provide rights based and recovery focused </w:t>
      </w:r>
      <w:r w:rsidRPr="003C1CF3">
        <w:t>support</w:t>
      </w:r>
      <w:r w:rsidR="009621F8" w:rsidRPr="003C1CF3">
        <w:t xml:space="preserve"> for</w:t>
      </w:r>
      <w:r w:rsidRPr="003C1CF3">
        <w:t xml:space="preserve"> people with mental health issues</w:t>
      </w:r>
      <w:r w:rsidR="00451D28" w:rsidRPr="003C1CF3">
        <w:t xml:space="preserve">, particularly </w:t>
      </w:r>
      <w:proofErr w:type="gramStart"/>
      <w:r w:rsidR="00451D28" w:rsidRPr="003C1CF3">
        <w:t>around</w:t>
      </w:r>
      <w:r w:rsidR="003C1CF3">
        <w:t xml:space="preserve">  </w:t>
      </w:r>
      <w:r w:rsidR="00451D28" w:rsidRPr="003C1CF3">
        <w:t>identification</w:t>
      </w:r>
      <w:proofErr w:type="gramEnd"/>
      <w:r w:rsidR="00451D28" w:rsidRPr="003C1CF3">
        <w:t xml:space="preserve"> </w:t>
      </w:r>
      <w:r w:rsidR="005929FD" w:rsidRPr="003C1CF3">
        <w:t>and referrals to appropriate mental health supports</w:t>
      </w:r>
      <w:r w:rsidR="009621F8" w:rsidRPr="003C1CF3">
        <w:t>.</w:t>
      </w:r>
    </w:p>
    <w:p w14:paraId="7A857488" w14:textId="2E86980C" w:rsidR="00B94960" w:rsidRDefault="00B94960" w:rsidP="00833F8F">
      <w:pPr>
        <w:rPr>
          <w:lang w:eastAsia="en-AU"/>
        </w:rPr>
      </w:pPr>
      <w:r>
        <w:rPr>
          <w:lang w:eastAsia="en-AU"/>
        </w:rPr>
        <w:t xml:space="preserve">We refer to section </w:t>
      </w:r>
      <w:r w:rsidR="004A7139">
        <w:rPr>
          <w:lang w:eastAsia="en-AU"/>
        </w:rPr>
        <w:t>7</w:t>
      </w:r>
      <w:r>
        <w:rPr>
          <w:lang w:eastAsia="en-AU"/>
        </w:rPr>
        <w:t xml:space="preserve"> of this submission for a more detailed discussion of reforms affecting children and young people.</w:t>
      </w:r>
    </w:p>
    <w:p w14:paraId="5AAFFEA4" w14:textId="1E78DD8F" w:rsidR="003A24D9" w:rsidRDefault="00C67995" w:rsidP="001C5A4F">
      <w:pPr>
        <w:pStyle w:val="Heading1"/>
      </w:pPr>
      <w:bookmarkStart w:id="407" w:name="_Toc41325345"/>
      <w:bookmarkStart w:id="408" w:name="_Toc41332793"/>
      <w:bookmarkStart w:id="409" w:name="_Toc41411935"/>
      <w:bookmarkStart w:id="410" w:name="_Toc41651953"/>
      <w:r>
        <w:t>Service delivery</w:t>
      </w:r>
      <w:r w:rsidR="003A24D9">
        <w:t xml:space="preserve"> and community supports</w:t>
      </w:r>
      <w:bookmarkEnd w:id="407"/>
      <w:bookmarkEnd w:id="408"/>
      <w:bookmarkEnd w:id="409"/>
      <w:bookmarkEnd w:id="410"/>
    </w:p>
    <w:p w14:paraId="0276A0D9" w14:textId="06D89FB3" w:rsidR="00705C04" w:rsidRDefault="002878F7">
      <w:pPr>
        <w:pStyle w:val="Heading2"/>
      </w:pPr>
      <w:bookmarkStart w:id="411" w:name="_Toc40247018"/>
      <w:bookmarkStart w:id="412" w:name="_Toc41651954"/>
      <w:bookmarkEnd w:id="411"/>
      <w:r>
        <w:t>Supported decision-making, recovery and least restrictive practice</w:t>
      </w:r>
      <w:bookmarkEnd w:id="412"/>
    </w:p>
    <w:p w14:paraId="1A3FE244" w14:textId="1FAD60D9" w:rsidR="00982287" w:rsidRDefault="009C42C6" w:rsidP="009C42C6">
      <w:pPr>
        <w:rPr>
          <w:lang w:eastAsia="en-AU"/>
        </w:rPr>
      </w:pPr>
      <w:r>
        <w:rPr>
          <w:lang w:eastAsia="en-AU"/>
        </w:rPr>
        <w:t xml:space="preserve">The </w:t>
      </w:r>
      <w:r w:rsidRPr="00402856">
        <w:rPr>
          <w:lang w:eastAsia="en-AU"/>
        </w:rPr>
        <w:t>Mental Health Act</w:t>
      </w:r>
      <w:r w:rsidRPr="00B108FC">
        <w:rPr>
          <w:i/>
          <w:iCs/>
          <w:lang w:eastAsia="en-AU"/>
        </w:rPr>
        <w:t xml:space="preserve"> </w:t>
      </w:r>
      <w:r w:rsidR="00982287">
        <w:rPr>
          <w:lang w:eastAsia="en-AU"/>
        </w:rPr>
        <w:t>was intended</w:t>
      </w:r>
      <w:r>
        <w:rPr>
          <w:lang w:eastAsia="en-AU"/>
        </w:rPr>
        <w:t xml:space="preserve"> to embed supported decision-making, recovery and least restrictive practice into the Victorian mental health system</w:t>
      </w:r>
      <w:r w:rsidR="00982287">
        <w:rPr>
          <w:lang w:eastAsia="en-AU"/>
        </w:rPr>
        <w:t>.</w:t>
      </w:r>
    </w:p>
    <w:p w14:paraId="1A339D31" w14:textId="15C319E8" w:rsidR="009C42C6" w:rsidRDefault="00982287" w:rsidP="00982287">
      <w:pPr>
        <w:rPr>
          <w:lang w:eastAsia="en-AU"/>
        </w:rPr>
      </w:pPr>
      <w:r>
        <w:rPr>
          <w:lang w:eastAsia="en-AU"/>
        </w:rPr>
        <w:t>C</w:t>
      </w:r>
      <w:r w:rsidR="009C42C6">
        <w:rPr>
          <w:lang w:eastAsia="en-AU"/>
        </w:rPr>
        <w:t>onsumers frequently report that</w:t>
      </w:r>
      <w:r w:rsidR="00314254">
        <w:rPr>
          <w:lang w:eastAsia="en-AU"/>
        </w:rPr>
        <w:t xml:space="preserve"> </w:t>
      </w:r>
      <w:r w:rsidR="009C42C6">
        <w:t>they are not supported to make decisions around their treatment</w:t>
      </w:r>
      <w:r w:rsidR="00314254">
        <w:t xml:space="preserve">, </w:t>
      </w:r>
      <w:r>
        <w:t xml:space="preserve">do not </w:t>
      </w:r>
      <w:r w:rsidR="009C42C6">
        <w:t>receiv</w:t>
      </w:r>
      <w:r>
        <w:t>e the</w:t>
      </w:r>
      <w:r w:rsidR="009C42C6">
        <w:t xml:space="preserve"> least restrictive treatment</w:t>
      </w:r>
      <w:r w:rsidR="00314254">
        <w:t xml:space="preserve">, and </w:t>
      </w:r>
      <w:r w:rsidR="00B22907">
        <w:t xml:space="preserve">are subjected to coercive </w:t>
      </w:r>
      <w:r w:rsidR="00F714E2">
        <w:t>practices</w:t>
      </w:r>
      <w:r w:rsidR="00314254">
        <w:t xml:space="preserve">. We also hear from consumers that </w:t>
      </w:r>
      <w:r w:rsidR="009C42C6">
        <w:t>their treating team does not hear or give genuine consideration to their views or preferences</w:t>
      </w:r>
      <w:r w:rsidR="00314254">
        <w:t>,</w:t>
      </w:r>
      <w:r>
        <w:t xml:space="preserve"> and</w:t>
      </w:r>
      <w:r w:rsidR="00314254">
        <w:t xml:space="preserve"> that </w:t>
      </w:r>
      <w:r>
        <w:t xml:space="preserve">they are not provided with </w:t>
      </w:r>
      <w:r w:rsidR="009C42C6">
        <w:t>genuine choices, alternatives</w:t>
      </w:r>
      <w:r>
        <w:t xml:space="preserve">, </w:t>
      </w:r>
      <w:r w:rsidR="365DBBF4">
        <w:t xml:space="preserve">or </w:t>
      </w:r>
      <w:r w:rsidR="009C42C6">
        <w:t xml:space="preserve">a variety of support and treatment options </w:t>
      </w:r>
      <w:r>
        <w:t xml:space="preserve">(e.g. different types of medication, Open Dialogue). </w:t>
      </w:r>
      <w:r>
        <w:rPr>
          <w:lang w:eastAsia="en-AU"/>
        </w:rPr>
        <w:t>Mental</w:t>
      </w:r>
      <w:r w:rsidR="009C42C6">
        <w:rPr>
          <w:lang w:eastAsia="en-AU"/>
        </w:rPr>
        <w:t xml:space="preserve"> health service staff </w:t>
      </w:r>
      <w:r>
        <w:rPr>
          <w:lang w:eastAsia="en-AU"/>
        </w:rPr>
        <w:t xml:space="preserve">also </w:t>
      </w:r>
      <w:r w:rsidR="009C42C6">
        <w:rPr>
          <w:lang w:eastAsia="en-AU"/>
        </w:rPr>
        <w:t>report they have insufficient time and resources in order to fully realise supported decision-making, recovery and least restrictive treatment.</w:t>
      </w:r>
      <w:r w:rsidR="009C42C6">
        <w:rPr>
          <w:rStyle w:val="FootnoteReference"/>
          <w:rFonts w:cs="Arial"/>
          <w:lang w:eastAsia="en-AU"/>
        </w:rPr>
        <w:footnoteReference w:id="44"/>
      </w:r>
    </w:p>
    <w:p w14:paraId="75AD2086" w14:textId="6A07F99C" w:rsidR="00C028B1" w:rsidRDefault="00C028B1" w:rsidP="00C028B1">
      <w:pPr>
        <w:rPr>
          <w:lang w:eastAsia="en-AU"/>
        </w:rPr>
      </w:pPr>
      <w:r>
        <w:rPr>
          <w:lang w:eastAsia="en-AU"/>
        </w:rPr>
        <w:t>Creating</w:t>
      </w:r>
      <w:r w:rsidRPr="00CE600E">
        <w:rPr>
          <w:lang w:eastAsia="en-AU"/>
        </w:rPr>
        <w:t xml:space="preserve"> new legal frameworks</w:t>
      </w:r>
      <w:r>
        <w:rPr>
          <w:lang w:eastAsia="en-AU"/>
        </w:rPr>
        <w:t xml:space="preserve"> is ineffective unless services and individuals </w:t>
      </w:r>
      <w:r w:rsidRPr="00CE600E">
        <w:rPr>
          <w:lang w:eastAsia="en-AU"/>
        </w:rPr>
        <w:t xml:space="preserve">responsible for the system on the ground </w:t>
      </w:r>
      <w:r>
        <w:rPr>
          <w:lang w:eastAsia="en-AU"/>
        </w:rPr>
        <w:t>ar</w:t>
      </w:r>
      <w:r w:rsidRPr="00CE600E">
        <w:rPr>
          <w:lang w:eastAsia="en-AU"/>
        </w:rPr>
        <w:t>e supported to change the culture and practice</w:t>
      </w:r>
      <w:r>
        <w:rPr>
          <w:lang w:eastAsia="en-AU"/>
        </w:rPr>
        <w:t>.</w:t>
      </w:r>
      <w:r>
        <w:rPr>
          <w:rStyle w:val="FootnoteReference"/>
          <w:lang w:eastAsia="en-AU"/>
        </w:rPr>
        <w:footnoteReference w:id="45"/>
      </w:r>
      <w:r>
        <w:rPr>
          <w:lang w:eastAsia="en-AU"/>
        </w:rPr>
        <w:t xml:space="preserve"> Consumer-focused</w:t>
      </w:r>
      <w:r w:rsidRPr="00CE600E">
        <w:rPr>
          <w:lang w:eastAsia="en-AU"/>
        </w:rPr>
        <w:t xml:space="preserve"> voluntary assessment and treatment should be a measure of success</w:t>
      </w:r>
      <w:r>
        <w:rPr>
          <w:lang w:eastAsia="en-AU"/>
        </w:rPr>
        <w:t>,</w:t>
      </w:r>
      <w:r w:rsidRPr="00CE600E">
        <w:rPr>
          <w:lang w:eastAsia="en-AU"/>
        </w:rPr>
        <w:t xml:space="preserve"> and compulsory treatment used only as a last resort.</w:t>
      </w:r>
      <w:r>
        <w:rPr>
          <w:lang w:eastAsia="en-AU"/>
        </w:rPr>
        <w:t xml:space="preserve"> We refer to section 1 on consumer leadership above as part of this </w:t>
      </w:r>
      <w:r w:rsidR="53F7EAD0">
        <w:rPr>
          <w:lang w:eastAsia="en-AU"/>
        </w:rPr>
        <w:t>cultur</w:t>
      </w:r>
      <w:r w:rsidR="392E3F02">
        <w:rPr>
          <w:lang w:eastAsia="en-AU"/>
        </w:rPr>
        <w:t>al</w:t>
      </w:r>
      <w:r>
        <w:rPr>
          <w:lang w:eastAsia="en-AU"/>
        </w:rPr>
        <w:t xml:space="preserve"> change.</w:t>
      </w:r>
    </w:p>
    <w:p w14:paraId="6936C9B9" w14:textId="320C37E0" w:rsidR="0083302E" w:rsidRDefault="00532B80" w:rsidP="00130F55">
      <w:pPr>
        <w:rPr>
          <w:lang w:eastAsia="en-AU"/>
        </w:rPr>
      </w:pPr>
      <w:r>
        <w:rPr>
          <w:lang w:eastAsia="en-AU"/>
        </w:rPr>
        <w:t xml:space="preserve">Practical processes should be put in place to support consumers to have </w:t>
      </w:r>
      <w:r w:rsidR="00731C42">
        <w:rPr>
          <w:lang w:eastAsia="en-AU"/>
        </w:rPr>
        <w:t>a greater say in their treatment including</w:t>
      </w:r>
      <w:r w:rsidR="00314254">
        <w:rPr>
          <w:lang w:eastAsia="en-AU"/>
        </w:rPr>
        <w:t xml:space="preserve"> </w:t>
      </w:r>
      <w:r w:rsidR="00731C42">
        <w:rPr>
          <w:lang w:eastAsia="en-AU"/>
        </w:rPr>
        <w:t>greater input into clinical notes</w:t>
      </w:r>
      <w:r w:rsidR="00314254">
        <w:rPr>
          <w:lang w:eastAsia="en-AU"/>
        </w:rPr>
        <w:t xml:space="preserve">, </w:t>
      </w:r>
      <w:r w:rsidR="00731C42">
        <w:rPr>
          <w:lang w:eastAsia="en-AU"/>
        </w:rPr>
        <w:t xml:space="preserve">improved support to access clinical files </w:t>
      </w:r>
      <w:r w:rsidR="00314254">
        <w:rPr>
          <w:lang w:eastAsia="en-AU"/>
        </w:rPr>
        <w:t>(</w:t>
      </w:r>
      <w:r w:rsidR="00731C42">
        <w:rPr>
          <w:lang w:eastAsia="en-AU"/>
        </w:rPr>
        <w:t>without needing to make formal Freedom of Information requests</w:t>
      </w:r>
      <w:r w:rsidR="004F0CFB">
        <w:rPr>
          <w:lang w:eastAsia="en-AU"/>
        </w:rPr>
        <w:t>, such as policies to facilitate access</w:t>
      </w:r>
      <w:r w:rsidR="00314254">
        <w:rPr>
          <w:lang w:eastAsia="en-AU"/>
        </w:rPr>
        <w:t xml:space="preserve">), </w:t>
      </w:r>
      <w:r w:rsidR="0083302E">
        <w:rPr>
          <w:lang w:eastAsia="en-AU"/>
        </w:rPr>
        <w:t>and</w:t>
      </w:r>
      <w:r w:rsidR="00314254">
        <w:rPr>
          <w:lang w:eastAsia="en-AU"/>
        </w:rPr>
        <w:t xml:space="preserve"> </w:t>
      </w:r>
      <w:r w:rsidR="0083302E">
        <w:rPr>
          <w:lang w:eastAsia="en-AU"/>
        </w:rPr>
        <w:t>co-producing treatment and discharge plans.</w:t>
      </w:r>
    </w:p>
    <w:p w14:paraId="27633689" w14:textId="2AE45A97" w:rsidR="00C028B1" w:rsidRDefault="00C028B1" w:rsidP="00C73BD9">
      <w:pPr>
        <w:pStyle w:val="Heading3"/>
      </w:pPr>
      <w:r>
        <w:lastRenderedPageBreak/>
        <w:t>Embedding key principles in practice</w:t>
      </w:r>
    </w:p>
    <w:p w14:paraId="2F0FD8D8" w14:textId="19C84865" w:rsidR="00C028B1" w:rsidRDefault="00C028B1" w:rsidP="00C028B1">
      <w:pPr>
        <w:rPr>
          <w:lang w:eastAsia="en-AU"/>
        </w:rPr>
      </w:pPr>
      <w:r>
        <w:rPr>
          <w:lang w:eastAsia="en-AU"/>
        </w:rPr>
        <w:t xml:space="preserve">Supported decision-making, recovery and least restrictive treatment principles </w:t>
      </w:r>
      <w:r w:rsidR="00C24073">
        <w:rPr>
          <w:lang w:eastAsia="en-AU"/>
        </w:rPr>
        <w:t xml:space="preserve">should </w:t>
      </w:r>
      <w:r>
        <w:rPr>
          <w:lang w:eastAsia="en-AU"/>
        </w:rPr>
        <w:t>be embedded into the practice of mental health services, with adequate funding to realise the objectives of the Mental Health Act.</w:t>
      </w:r>
    </w:p>
    <w:p w14:paraId="3D052C87" w14:textId="6796CEFB" w:rsidR="009C42C6" w:rsidRPr="003C1CF3" w:rsidRDefault="003C1CF3" w:rsidP="00833F8F">
      <w:pPr>
        <w:shd w:val="clear" w:color="auto" w:fill="DEEAF6" w:themeFill="accent5" w:themeFillTint="33"/>
        <w:ind w:left="3119" w:hanging="2693"/>
      </w:pPr>
      <w:bookmarkStart w:id="413" w:name="_Toc41325346"/>
      <w:bookmarkStart w:id="414" w:name="_Toc41332794"/>
      <w:bookmarkStart w:id="415" w:name="_Toc41411936"/>
      <w:r w:rsidRPr="003C1CF3">
        <w:rPr>
          <w:b/>
          <w:bCs/>
        </w:rPr>
        <w:t>Recommendation 11:</w:t>
      </w:r>
      <w:r w:rsidR="00BF5882">
        <w:rPr>
          <w:b/>
          <w:bCs/>
        </w:rPr>
        <w:tab/>
      </w:r>
      <w:r w:rsidR="00606F0A" w:rsidRPr="003C1CF3">
        <w:rPr>
          <w:b/>
          <w:bCs/>
        </w:rPr>
        <w:t>Embed key</w:t>
      </w:r>
      <w:r w:rsidR="00396750" w:rsidRPr="003C1CF3">
        <w:rPr>
          <w:b/>
          <w:bCs/>
        </w:rPr>
        <w:t xml:space="preserve"> recovery</w:t>
      </w:r>
      <w:r w:rsidR="00606F0A" w:rsidRPr="003C1CF3">
        <w:rPr>
          <w:b/>
          <w:bCs/>
        </w:rPr>
        <w:t xml:space="preserve"> principles</w:t>
      </w:r>
      <w:r w:rsidR="00FE61CA" w:rsidRPr="003C1CF3">
        <w:rPr>
          <w:b/>
          <w:bCs/>
        </w:rPr>
        <w:t xml:space="preserve"> within mental health services</w:t>
      </w:r>
      <w:bookmarkEnd w:id="413"/>
      <w:bookmarkEnd w:id="414"/>
      <w:bookmarkEnd w:id="415"/>
    </w:p>
    <w:p w14:paraId="2A882065" w14:textId="248ECF71" w:rsidR="00C028B1" w:rsidRPr="003C1CF3" w:rsidRDefault="009C42C6" w:rsidP="00833F8F">
      <w:pPr>
        <w:shd w:val="clear" w:color="auto" w:fill="DEEAF6" w:themeFill="accent5" w:themeFillTint="33"/>
        <w:ind w:left="426"/>
      </w:pPr>
      <w:r w:rsidRPr="003C1CF3">
        <w:t xml:space="preserve">The </w:t>
      </w:r>
      <w:r w:rsidR="00982287" w:rsidRPr="003C1CF3">
        <w:t>Department of Health and Human Services</w:t>
      </w:r>
      <w:r w:rsidRPr="003C1CF3">
        <w:t xml:space="preserve"> should </w:t>
      </w:r>
      <w:r w:rsidR="00982287" w:rsidRPr="003C1CF3">
        <w:t>require and fund mental health services</w:t>
      </w:r>
      <w:r w:rsidR="00C028B1" w:rsidRPr="003C1CF3">
        <w:t xml:space="preserve"> to </w:t>
      </w:r>
      <w:r w:rsidR="00982287" w:rsidRPr="003C1CF3">
        <w:t>embed key principles</w:t>
      </w:r>
      <w:r w:rsidR="00892D63" w:rsidRPr="003C1CF3">
        <w:t xml:space="preserve"> of supported-decision making, recovery and least restrictive practice</w:t>
      </w:r>
      <w:r w:rsidR="00982287" w:rsidRPr="003C1CF3">
        <w:t xml:space="preserve"> into </w:t>
      </w:r>
      <w:r w:rsidR="00522CE4" w:rsidRPr="003C1CF3">
        <w:t>their practice through the use of</w:t>
      </w:r>
      <w:r w:rsidR="00982287" w:rsidRPr="003C1CF3">
        <w:t xml:space="preserve"> service agreements, policies and procedures</w:t>
      </w:r>
      <w:r w:rsidR="00C028B1" w:rsidRPr="003C1CF3">
        <w:t xml:space="preserve"> </w:t>
      </w:r>
      <w:r w:rsidR="001C4C6D" w:rsidRPr="003C1CF3">
        <w:t>and practice support</w:t>
      </w:r>
      <w:r w:rsidR="00C028B1" w:rsidRPr="003C1CF3">
        <w:t xml:space="preserve"> </w:t>
      </w:r>
      <w:r w:rsidR="00982287" w:rsidRPr="003C1CF3">
        <w:t xml:space="preserve">to </w:t>
      </w:r>
      <w:r w:rsidRPr="003C1CF3">
        <w:t xml:space="preserve">increase </w:t>
      </w:r>
      <w:r w:rsidR="00982287" w:rsidRPr="003C1CF3">
        <w:t xml:space="preserve">rates of </w:t>
      </w:r>
      <w:r w:rsidRPr="003C1CF3">
        <w:t xml:space="preserve">voluntary </w:t>
      </w:r>
      <w:r w:rsidR="00982287" w:rsidRPr="003C1CF3">
        <w:t xml:space="preserve">mental health </w:t>
      </w:r>
      <w:r w:rsidRPr="003C1CF3">
        <w:t>services and treatment in the community.</w:t>
      </w:r>
    </w:p>
    <w:p w14:paraId="7ABF765F" w14:textId="645C68CE" w:rsidR="00C028B1" w:rsidRDefault="00C028B1" w:rsidP="00C73BD9">
      <w:pPr>
        <w:pStyle w:val="Heading3"/>
      </w:pPr>
      <w:r>
        <w:t>Mandatory training for mental health services and staff</w:t>
      </w:r>
    </w:p>
    <w:p w14:paraId="2088C5CB" w14:textId="021D44AB" w:rsidR="00273061" w:rsidRDefault="00982287" w:rsidP="00273061">
      <w:pPr>
        <w:rPr>
          <w:lang w:eastAsia="en-AU"/>
        </w:rPr>
      </w:pPr>
      <w:r>
        <w:rPr>
          <w:lang w:eastAsia="en-AU"/>
        </w:rPr>
        <w:t>Building staff capacity through training,</w:t>
      </w:r>
      <w:r w:rsidRPr="00B108FC">
        <w:rPr>
          <w:rStyle w:val="FootnoteReference"/>
          <w:rFonts w:cs="Arial"/>
          <w:lang w:eastAsia="en-AU"/>
        </w:rPr>
        <w:t xml:space="preserve"> </w:t>
      </w:r>
      <w:r>
        <w:rPr>
          <w:lang w:eastAsia="en-AU"/>
        </w:rPr>
        <w:t xml:space="preserve">education, supervision, and ongoing professional development has a crucial role to play in improving compliance and embedding cultural change, as is incorporating these requirements into clinical tools, measuring outcomes and reporting </w:t>
      </w:r>
      <w:r w:rsidR="00FE380B">
        <w:rPr>
          <w:lang w:eastAsia="en-AU"/>
        </w:rPr>
        <w:t xml:space="preserve">on </w:t>
      </w:r>
      <w:r>
        <w:rPr>
          <w:lang w:eastAsia="en-AU"/>
        </w:rPr>
        <w:t>them.</w:t>
      </w:r>
      <w:r>
        <w:rPr>
          <w:rStyle w:val="FootnoteReference"/>
          <w:rFonts w:cs="Arial"/>
          <w:lang w:eastAsia="en-AU"/>
        </w:rPr>
        <w:footnoteReference w:id="46"/>
      </w:r>
      <w:r>
        <w:rPr>
          <w:lang w:eastAsia="en-AU"/>
        </w:rPr>
        <w:t xml:space="preserve"> </w:t>
      </w:r>
      <w:r w:rsidR="00273061">
        <w:t>The development and roll-out of a rights-based approach to mental health for services (including</w:t>
      </w:r>
      <w:r w:rsidR="00BE4BFB">
        <w:t xml:space="preserve"> Mental Health Act and</w:t>
      </w:r>
      <w:r w:rsidR="00273061">
        <w:t xml:space="preserve"> Victorian Charter training, guidance and policy development) is essential for preventing mistreatment and abuse, and safeguarding the human rights of mental health service users. </w:t>
      </w:r>
    </w:p>
    <w:p w14:paraId="0B6CD58C" w14:textId="5B4B8B39" w:rsidR="009C42C6" w:rsidRPr="002E2A75" w:rsidRDefault="009C42C6" w:rsidP="003D47E0">
      <w:pPr>
        <w:pStyle w:val="Normaloutlinebox"/>
        <w:pBdr>
          <w:top w:val="none" w:sz="0" w:space="0" w:color="auto"/>
          <w:left w:val="none" w:sz="0" w:space="0" w:color="auto"/>
          <w:bottom w:val="none" w:sz="0" w:space="0" w:color="auto"/>
          <w:right w:val="none" w:sz="0" w:space="0" w:color="auto"/>
        </w:pBdr>
        <w:ind w:left="0"/>
        <w:rPr>
          <w:szCs w:val="22"/>
        </w:rPr>
      </w:pPr>
      <w:r w:rsidRPr="5DF6CEEA">
        <w:t xml:space="preserve">IMHA’s role and supported decision-making training are examples of the kinds of initiatives </w:t>
      </w:r>
      <w:r w:rsidR="00982287" w:rsidRPr="5DF6CEEA">
        <w:t>needed</w:t>
      </w:r>
      <w:r w:rsidRPr="5DF6CEEA">
        <w:t xml:space="preserve"> to translate the </w:t>
      </w:r>
      <w:r w:rsidR="00982287" w:rsidRPr="5DF6CEEA">
        <w:t>letter of the law</w:t>
      </w:r>
      <w:r w:rsidRPr="5DF6CEEA">
        <w:t xml:space="preserve"> into </w:t>
      </w:r>
      <w:r w:rsidR="00982287" w:rsidRPr="5DF6CEEA">
        <w:t>tangible protections</w:t>
      </w:r>
      <w:r w:rsidRPr="5DF6CEEA">
        <w:t xml:space="preserve"> for consumers </w:t>
      </w:r>
      <w:r w:rsidR="3DE02211" w:rsidRPr="5DF6CEEA">
        <w:t xml:space="preserve">which enable them to </w:t>
      </w:r>
      <w:r w:rsidRPr="5DF6CEEA">
        <w:t>be actively involved in decisions about their treatment, discharge planning, risk assessment or recovery</w:t>
      </w:r>
      <w:r w:rsidR="00982287">
        <w:rPr>
          <w:szCs w:val="22"/>
        </w:rPr>
        <w:t>.</w:t>
      </w:r>
      <w:r w:rsidRPr="5DF6CEEA">
        <w:rPr>
          <w:rStyle w:val="FootnoteReference"/>
        </w:rPr>
        <w:footnoteReference w:id="47"/>
      </w:r>
      <w:r>
        <w:t xml:space="preserve"> </w:t>
      </w:r>
      <w:r w:rsidRPr="004B057E">
        <w:rPr>
          <w:szCs w:val="22"/>
        </w:rPr>
        <w:t xml:space="preserve">Outcomes reported </w:t>
      </w:r>
      <w:r>
        <w:rPr>
          <w:szCs w:val="22"/>
        </w:rPr>
        <w:t>by</w:t>
      </w:r>
      <w:r w:rsidRPr="004B057E">
        <w:rPr>
          <w:szCs w:val="22"/>
        </w:rPr>
        <w:t xml:space="preserve"> </w:t>
      </w:r>
      <w:r>
        <w:rPr>
          <w:szCs w:val="22"/>
        </w:rPr>
        <w:t>participants</w:t>
      </w:r>
      <w:r w:rsidRPr="004B057E">
        <w:rPr>
          <w:szCs w:val="22"/>
        </w:rPr>
        <w:t xml:space="preserve"> </w:t>
      </w:r>
      <w:r w:rsidR="004612C4">
        <w:rPr>
          <w:szCs w:val="22"/>
        </w:rPr>
        <w:t>after</w:t>
      </w:r>
      <w:r w:rsidR="00726462">
        <w:rPr>
          <w:szCs w:val="22"/>
        </w:rPr>
        <w:t xml:space="preserve"> undertaking IMHA’s supported decision-making training</w:t>
      </w:r>
      <w:r w:rsidRPr="004B057E">
        <w:rPr>
          <w:szCs w:val="22"/>
        </w:rPr>
        <w:t xml:space="preserve"> </w:t>
      </w:r>
      <w:r w:rsidR="00982287">
        <w:rPr>
          <w:szCs w:val="22"/>
        </w:rPr>
        <w:t>included</w:t>
      </w:r>
      <w:r w:rsidR="002B6C2D">
        <w:rPr>
          <w:szCs w:val="22"/>
        </w:rPr>
        <w:t xml:space="preserve"> an </w:t>
      </w:r>
      <w:r w:rsidRPr="004B057E">
        <w:t>85</w:t>
      </w:r>
      <w:r w:rsidR="00C04ADE">
        <w:t xml:space="preserve"> per cent</w:t>
      </w:r>
      <w:r w:rsidRPr="004B057E">
        <w:t xml:space="preserve"> increase in knowledge of supported decision</w:t>
      </w:r>
      <w:r w:rsidR="00A40359">
        <w:t>-</w:t>
      </w:r>
      <w:r w:rsidRPr="004B057E">
        <w:t>making</w:t>
      </w:r>
      <w:r w:rsidR="002B6C2D">
        <w:t xml:space="preserve"> and</w:t>
      </w:r>
      <w:r w:rsidR="00FE61CA">
        <w:t xml:space="preserve"> </w:t>
      </w:r>
      <w:r w:rsidRPr="00982287">
        <w:t>how to put supported decision making into practice</w:t>
      </w:r>
      <w:r w:rsidR="00982287">
        <w:t>.</w:t>
      </w:r>
      <w:r w:rsidR="00982287">
        <w:rPr>
          <w:rStyle w:val="FootnoteReference"/>
          <w:szCs w:val="22"/>
        </w:rPr>
        <w:footnoteReference w:id="48"/>
      </w:r>
      <w:r w:rsidR="007560D0">
        <w:rPr>
          <w:szCs w:val="22"/>
        </w:rPr>
        <w:t xml:space="preserve"> </w:t>
      </w:r>
      <w:r w:rsidR="007560D0">
        <w:t>Unfortunately,</w:t>
      </w:r>
      <w:r w:rsidRPr="002E2A75">
        <w:rPr>
          <w:szCs w:val="22"/>
        </w:rPr>
        <w:t xml:space="preserve"> supported decision</w:t>
      </w:r>
      <w:r>
        <w:rPr>
          <w:szCs w:val="22"/>
        </w:rPr>
        <w:t>-</w:t>
      </w:r>
      <w:r w:rsidRPr="002E2A75">
        <w:rPr>
          <w:szCs w:val="22"/>
        </w:rPr>
        <w:t>making is broadly misunderstood across the mental health sector, and often confused with shared decision</w:t>
      </w:r>
      <w:r>
        <w:rPr>
          <w:szCs w:val="22"/>
        </w:rPr>
        <w:t>-</w:t>
      </w:r>
      <w:r w:rsidRPr="002E2A75">
        <w:rPr>
          <w:szCs w:val="22"/>
        </w:rPr>
        <w:t>making.</w:t>
      </w:r>
      <w:r w:rsidR="00D25443">
        <w:rPr>
          <w:rStyle w:val="FootnoteReference"/>
          <w:szCs w:val="22"/>
        </w:rPr>
        <w:footnoteReference w:id="49"/>
      </w:r>
    </w:p>
    <w:p w14:paraId="694909F0" w14:textId="7C28EDF5" w:rsidR="009C42C6" w:rsidRDefault="00982287" w:rsidP="00982287">
      <w:pPr>
        <w:pStyle w:val="Normaloutlinebox"/>
        <w:pBdr>
          <w:top w:val="none" w:sz="0" w:space="0" w:color="auto"/>
          <w:left w:val="none" w:sz="0" w:space="0" w:color="auto"/>
          <w:bottom w:val="none" w:sz="0" w:space="0" w:color="auto"/>
          <w:right w:val="none" w:sz="0" w:space="0" w:color="auto"/>
        </w:pBdr>
        <w:ind w:left="0"/>
        <w:rPr>
          <w:szCs w:val="22"/>
        </w:rPr>
      </w:pPr>
      <w:r>
        <w:rPr>
          <w:szCs w:val="22"/>
        </w:rPr>
        <w:t>The</w:t>
      </w:r>
      <w:r w:rsidR="009C42C6">
        <w:rPr>
          <w:szCs w:val="22"/>
        </w:rPr>
        <w:t xml:space="preserve"> independent evaluation of IMHA</w:t>
      </w:r>
      <w:r>
        <w:rPr>
          <w:szCs w:val="22"/>
        </w:rPr>
        <w:t xml:space="preserve"> </w:t>
      </w:r>
      <w:r w:rsidR="007F710A">
        <w:rPr>
          <w:szCs w:val="22"/>
        </w:rPr>
        <w:t>undertaken</w:t>
      </w:r>
      <w:r w:rsidR="004F493A">
        <w:rPr>
          <w:szCs w:val="22"/>
        </w:rPr>
        <w:t xml:space="preserve"> by RMIT in 2018</w:t>
      </w:r>
      <w:r>
        <w:rPr>
          <w:szCs w:val="22"/>
        </w:rPr>
        <w:t xml:space="preserve"> notes that</w:t>
      </w:r>
      <w:r w:rsidR="009C42C6" w:rsidRPr="004B057E">
        <w:rPr>
          <w:szCs w:val="22"/>
        </w:rPr>
        <w:t xml:space="preserve"> the responsibility for ensuring clinical decision-makers complete training on supported decision-making and mental health legislation </w:t>
      </w:r>
      <w:r>
        <w:rPr>
          <w:szCs w:val="22"/>
        </w:rPr>
        <w:t>to</w:t>
      </w:r>
      <w:r w:rsidR="009C42C6" w:rsidRPr="004B057E">
        <w:rPr>
          <w:szCs w:val="22"/>
        </w:rPr>
        <w:t xml:space="preserve"> understand their legal obligations should not sit with IMHA alone. In other jurisdictions, training is mandated. For example, in </w:t>
      </w:r>
      <w:r>
        <w:rPr>
          <w:szCs w:val="22"/>
        </w:rPr>
        <w:t>the UK</w:t>
      </w:r>
      <w:r w:rsidR="009C42C6" w:rsidRPr="004B057E">
        <w:rPr>
          <w:szCs w:val="22"/>
        </w:rPr>
        <w:t>, all decision</w:t>
      </w:r>
      <w:r w:rsidR="009C42C6">
        <w:rPr>
          <w:szCs w:val="22"/>
        </w:rPr>
        <w:t>-</w:t>
      </w:r>
      <w:r w:rsidR="009C42C6" w:rsidRPr="004B057E">
        <w:rPr>
          <w:szCs w:val="22"/>
        </w:rPr>
        <w:t>makers must complete training on mental health l</w:t>
      </w:r>
      <w:r>
        <w:rPr>
          <w:szCs w:val="22"/>
        </w:rPr>
        <w:t>aws</w:t>
      </w:r>
      <w:r w:rsidR="009C42C6" w:rsidRPr="004B057E">
        <w:rPr>
          <w:szCs w:val="22"/>
        </w:rPr>
        <w:t xml:space="preserve"> before they can subject a person to compulsory treatment</w:t>
      </w:r>
      <w:r w:rsidR="009C42C6">
        <w:rPr>
          <w:szCs w:val="22"/>
        </w:rPr>
        <w:t>.</w:t>
      </w:r>
      <w:r w:rsidR="009C42C6">
        <w:rPr>
          <w:rStyle w:val="FootnoteReference"/>
          <w:szCs w:val="22"/>
        </w:rPr>
        <w:footnoteReference w:id="50"/>
      </w:r>
    </w:p>
    <w:p w14:paraId="2005FBDD" w14:textId="4EE27E91" w:rsidR="00C028B1" w:rsidRPr="003C1CF3" w:rsidRDefault="007560D0" w:rsidP="00E350A3">
      <w:pPr>
        <w:shd w:val="clear" w:color="auto" w:fill="DEEAF6" w:themeFill="accent5" w:themeFillTint="33"/>
        <w:spacing w:before="240"/>
        <w:ind w:left="426"/>
      </w:pPr>
      <w:bookmarkStart w:id="416" w:name="_Toc40355753"/>
      <w:bookmarkStart w:id="417" w:name="_Toc41325347"/>
      <w:bookmarkStart w:id="418" w:name="_Toc41332795"/>
      <w:bookmarkStart w:id="419" w:name="_Toc41411937"/>
      <w:r w:rsidRPr="003C1CF3">
        <w:rPr>
          <w:b/>
          <w:bCs/>
        </w:rPr>
        <w:t>R</w:t>
      </w:r>
      <w:r w:rsidR="003C1CF3" w:rsidRPr="003C1CF3">
        <w:rPr>
          <w:b/>
          <w:bCs/>
        </w:rPr>
        <w:t xml:space="preserve">ecommendation 12: </w:t>
      </w:r>
      <w:r w:rsidR="00BF5882">
        <w:rPr>
          <w:b/>
          <w:bCs/>
        </w:rPr>
        <w:tab/>
      </w:r>
      <w:r w:rsidR="003C1CF3" w:rsidRPr="003C1CF3">
        <w:rPr>
          <w:b/>
          <w:bCs/>
        </w:rPr>
        <w:t>R</w:t>
      </w:r>
      <w:r w:rsidRPr="003C1CF3">
        <w:rPr>
          <w:b/>
          <w:bCs/>
        </w:rPr>
        <w:t>equire s</w:t>
      </w:r>
      <w:r w:rsidR="00C028B1" w:rsidRPr="003C1CF3">
        <w:rPr>
          <w:b/>
          <w:bCs/>
        </w:rPr>
        <w:t>upported decision-making and rights training</w:t>
      </w:r>
      <w:bookmarkEnd w:id="416"/>
      <w:bookmarkEnd w:id="417"/>
      <w:bookmarkEnd w:id="418"/>
      <w:bookmarkEnd w:id="419"/>
    </w:p>
    <w:p w14:paraId="37F51154" w14:textId="6FD4BA97" w:rsidR="00C028B1" w:rsidRPr="003C1CF3" w:rsidRDefault="00C028B1" w:rsidP="00833F8F">
      <w:pPr>
        <w:shd w:val="clear" w:color="auto" w:fill="DEEAF6" w:themeFill="accent5" w:themeFillTint="33"/>
        <w:ind w:left="426"/>
      </w:pPr>
      <w:r w:rsidRPr="003C1CF3">
        <w:t xml:space="preserve">The Department of Health and Human Services should require and fund mental health services and all clinicians </w:t>
      </w:r>
      <w:r w:rsidR="00F830C7" w:rsidRPr="003C1CF3">
        <w:t>who can</w:t>
      </w:r>
      <w:r w:rsidRPr="003C1CF3">
        <w:t xml:space="preserve"> make compulsory treatment decisions to undertake mandatory training on the Mental Health Act (including supported decision-making, recovery and least restrictive treatment) </w:t>
      </w:r>
      <w:r w:rsidR="00273061" w:rsidRPr="003C1CF3">
        <w:t>and application of the Victorian Charter</w:t>
      </w:r>
      <w:r w:rsidRPr="003C1CF3">
        <w:t>.</w:t>
      </w:r>
    </w:p>
    <w:p w14:paraId="0BE04D46" w14:textId="13200E3E" w:rsidR="009C42C6" w:rsidRPr="003C1CF3" w:rsidRDefault="009C42C6" w:rsidP="00833F8F">
      <w:pPr>
        <w:shd w:val="clear" w:color="auto" w:fill="DEEAF6" w:themeFill="accent5" w:themeFillTint="33"/>
        <w:ind w:left="426"/>
      </w:pPr>
      <w:r w:rsidRPr="003C1CF3">
        <w:lastRenderedPageBreak/>
        <w:t xml:space="preserve">The Victorian Government should adequately fund IMHA to continue </w:t>
      </w:r>
      <w:r w:rsidR="005D53C8" w:rsidRPr="003C1CF3">
        <w:t xml:space="preserve">designing and </w:t>
      </w:r>
      <w:r w:rsidRPr="003C1CF3">
        <w:t xml:space="preserve">delivering </w:t>
      </w:r>
      <w:r w:rsidR="00982287" w:rsidRPr="003C1CF3">
        <w:t>s</w:t>
      </w:r>
      <w:r w:rsidRPr="003C1CF3">
        <w:t xml:space="preserve">upported </w:t>
      </w:r>
      <w:r w:rsidR="00982287" w:rsidRPr="003C1CF3">
        <w:t>d</w:t>
      </w:r>
      <w:r w:rsidRPr="003C1CF3">
        <w:t>ecision-</w:t>
      </w:r>
      <w:r w:rsidR="00982287" w:rsidRPr="003C1CF3">
        <w:t>m</w:t>
      </w:r>
      <w:r w:rsidRPr="003C1CF3">
        <w:t xml:space="preserve">aking and </w:t>
      </w:r>
      <w:r w:rsidR="00982287" w:rsidRPr="003C1CF3">
        <w:t>r</w:t>
      </w:r>
      <w:r w:rsidRPr="003C1CF3">
        <w:t>ights training to designated mental health services to build</w:t>
      </w:r>
      <w:r w:rsidR="00982287" w:rsidRPr="003C1CF3">
        <w:t xml:space="preserve"> services’</w:t>
      </w:r>
      <w:r w:rsidRPr="003C1CF3">
        <w:t xml:space="preserve"> capacity to work from a rights-based framework</w:t>
      </w:r>
      <w:r w:rsidR="00982287" w:rsidRPr="003C1CF3">
        <w:t>,</w:t>
      </w:r>
      <w:r w:rsidRPr="003C1CF3">
        <w:t xml:space="preserve"> as required by the Mental Health Act</w:t>
      </w:r>
      <w:r w:rsidR="00982287" w:rsidRPr="003C1CF3">
        <w:t>.</w:t>
      </w:r>
      <w:r w:rsidR="00BF5882">
        <w:rPr>
          <w:rStyle w:val="FootnoteReference"/>
        </w:rPr>
        <w:footnoteReference w:id="51"/>
      </w:r>
    </w:p>
    <w:p w14:paraId="42A8DB57" w14:textId="37D0D9A8" w:rsidR="009C42C6" w:rsidRPr="00EA1994" w:rsidRDefault="009C42C6" w:rsidP="00634BF2">
      <w:pPr>
        <w:pStyle w:val="Heading2"/>
      </w:pPr>
      <w:bookmarkStart w:id="420" w:name="_Toc40215262"/>
      <w:bookmarkStart w:id="421" w:name="_Toc41651955"/>
      <w:bookmarkEnd w:id="420"/>
      <w:r w:rsidRPr="00EA1994">
        <w:t xml:space="preserve">Flexible </w:t>
      </w:r>
      <w:r>
        <w:t>t</w:t>
      </w:r>
      <w:r w:rsidRPr="00EA1994">
        <w:t xml:space="preserve">reatment and </w:t>
      </w:r>
      <w:r>
        <w:t>s</w:t>
      </w:r>
      <w:r w:rsidRPr="00EA1994">
        <w:t xml:space="preserve">upport </w:t>
      </w:r>
      <w:r>
        <w:t>o</w:t>
      </w:r>
      <w:r w:rsidRPr="00EA1994">
        <w:t>ptions</w:t>
      </w:r>
      <w:bookmarkEnd w:id="421"/>
    </w:p>
    <w:p w14:paraId="54488E65" w14:textId="77777777" w:rsidR="00634BF2" w:rsidRDefault="00634BF2" w:rsidP="00634BF2">
      <w:pPr>
        <w:rPr>
          <w:lang w:eastAsia="en-AU"/>
        </w:rPr>
      </w:pPr>
      <w:r>
        <w:rPr>
          <w:lang w:eastAsia="en-AU"/>
        </w:rPr>
        <w:t>VLA has highlighted the opportunity to build a recovery-focused mental health system.</w:t>
      </w:r>
      <w:r>
        <w:rPr>
          <w:rStyle w:val="FootnoteReference"/>
          <w:lang w:eastAsia="en-AU"/>
        </w:rPr>
        <w:footnoteReference w:id="52"/>
      </w:r>
      <w:r>
        <w:rPr>
          <w:lang w:eastAsia="en-AU"/>
        </w:rPr>
        <w:t xml:space="preserve"> </w:t>
      </w:r>
      <w:r w:rsidRPr="00B108FC">
        <w:rPr>
          <w:lang w:eastAsia="en-AU"/>
        </w:rPr>
        <w:t>Consumers should have their autonomy and right to self-determination respected</w:t>
      </w:r>
      <w:r>
        <w:rPr>
          <w:lang w:eastAsia="en-AU"/>
        </w:rPr>
        <w:t>. Victoria’s</w:t>
      </w:r>
      <w:r w:rsidRPr="00B108FC">
        <w:rPr>
          <w:lang w:eastAsia="en-AU"/>
        </w:rPr>
        <w:t xml:space="preserve"> mental health system </w:t>
      </w:r>
      <w:r>
        <w:rPr>
          <w:lang w:eastAsia="en-AU"/>
        </w:rPr>
        <w:t xml:space="preserve">can make this a reality by ensuring </w:t>
      </w:r>
      <w:r w:rsidRPr="00B108FC">
        <w:rPr>
          <w:lang w:eastAsia="en-AU"/>
        </w:rPr>
        <w:t xml:space="preserve">access to voluntary services and treatment in the community. </w:t>
      </w:r>
    </w:p>
    <w:p w14:paraId="1A585A53" w14:textId="1E6D0D25" w:rsidR="00EC704A" w:rsidRDefault="00634BF2" w:rsidP="009C42C6">
      <w:pPr>
        <w:rPr>
          <w:lang w:eastAsia="en-AU"/>
        </w:rPr>
      </w:pPr>
      <w:r>
        <w:rPr>
          <w:lang w:eastAsia="en-AU"/>
        </w:rPr>
        <w:t xml:space="preserve">Currently, </w:t>
      </w:r>
      <w:r w:rsidR="009C42C6" w:rsidRPr="00EA1994">
        <w:rPr>
          <w:lang w:eastAsia="en-AU"/>
        </w:rPr>
        <w:t>Victoria</w:t>
      </w:r>
      <w:r w:rsidR="00982287">
        <w:rPr>
          <w:lang w:eastAsia="en-AU"/>
        </w:rPr>
        <w:t>’s</w:t>
      </w:r>
      <w:r w:rsidR="009C42C6" w:rsidRPr="00EA1994">
        <w:rPr>
          <w:lang w:eastAsia="en-AU"/>
        </w:rPr>
        <w:t xml:space="preserve"> mental health system </w:t>
      </w:r>
      <w:r w:rsidR="00EC704A">
        <w:rPr>
          <w:lang w:eastAsia="en-AU"/>
        </w:rPr>
        <w:t>is skewed towards</w:t>
      </w:r>
      <w:r w:rsidR="009C42C6" w:rsidRPr="00EA1994">
        <w:rPr>
          <w:lang w:eastAsia="en-AU"/>
        </w:rPr>
        <w:t xml:space="preserve"> crisis response</w:t>
      </w:r>
      <w:r w:rsidR="00982287">
        <w:rPr>
          <w:lang w:eastAsia="en-AU"/>
        </w:rPr>
        <w:t>.</w:t>
      </w:r>
      <w:r w:rsidR="00982287" w:rsidRPr="00EA1994">
        <w:rPr>
          <w:vertAlign w:val="superscript"/>
          <w:lang w:eastAsia="en-AU"/>
        </w:rPr>
        <w:footnoteReference w:id="53"/>
      </w:r>
      <w:r w:rsidR="00982287">
        <w:rPr>
          <w:lang w:eastAsia="en-AU"/>
        </w:rPr>
        <w:t xml:space="preserve"> </w:t>
      </w:r>
      <w:r w:rsidR="00EC704A">
        <w:rPr>
          <w:lang w:eastAsia="en-AU"/>
        </w:rPr>
        <w:t>F</w:t>
      </w:r>
      <w:r w:rsidR="00982287">
        <w:rPr>
          <w:lang w:eastAsia="en-AU"/>
        </w:rPr>
        <w:t>lexibility for</w:t>
      </w:r>
      <w:r w:rsidR="009C42C6" w:rsidRPr="00EA1994">
        <w:rPr>
          <w:lang w:eastAsia="en-AU"/>
        </w:rPr>
        <w:t xml:space="preserve"> people’s </w:t>
      </w:r>
      <w:r w:rsidR="00982287">
        <w:rPr>
          <w:lang w:eastAsia="en-AU"/>
        </w:rPr>
        <w:t xml:space="preserve">different </w:t>
      </w:r>
      <w:r w:rsidR="009C42C6" w:rsidRPr="00EA1994">
        <w:rPr>
          <w:lang w:eastAsia="en-AU"/>
        </w:rPr>
        <w:t>recovery needs in terms of intensity of support</w:t>
      </w:r>
      <w:r w:rsidR="00EC704A">
        <w:rPr>
          <w:lang w:eastAsia="en-AU"/>
        </w:rPr>
        <w:t xml:space="preserve"> </w:t>
      </w:r>
      <w:r w:rsidR="00FD0FE0">
        <w:rPr>
          <w:lang w:eastAsia="en-AU"/>
        </w:rPr>
        <w:t xml:space="preserve">is </w:t>
      </w:r>
      <w:r w:rsidR="00EC704A">
        <w:rPr>
          <w:lang w:eastAsia="en-AU"/>
        </w:rPr>
        <w:t>not widely available. Our system should</w:t>
      </w:r>
      <w:r w:rsidR="00982287">
        <w:rPr>
          <w:lang w:eastAsia="en-AU"/>
        </w:rPr>
        <w:t xml:space="preserve"> respect </w:t>
      </w:r>
      <w:r w:rsidR="009C42C6" w:rsidRPr="00EA1994">
        <w:rPr>
          <w:lang w:eastAsia="en-AU"/>
        </w:rPr>
        <w:t>people</w:t>
      </w:r>
      <w:r w:rsidR="00982287">
        <w:rPr>
          <w:lang w:eastAsia="en-AU"/>
        </w:rPr>
        <w:t>’s choice and autonomy</w:t>
      </w:r>
      <w:r w:rsidR="009C42C6" w:rsidRPr="00EA1994">
        <w:rPr>
          <w:lang w:eastAsia="en-AU"/>
        </w:rPr>
        <w:t xml:space="preserve"> to de</w:t>
      </w:r>
      <w:r w:rsidR="00982287">
        <w:rPr>
          <w:lang w:eastAsia="en-AU"/>
        </w:rPr>
        <w:t>cide</w:t>
      </w:r>
      <w:r w:rsidR="009C42C6" w:rsidRPr="00EA1994">
        <w:rPr>
          <w:lang w:eastAsia="en-AU"/>
        </w:rPr>
        <w:t xml:space="preserve"> what they need and when they need it.</w:t>
      </w:r>
      <w:r w:rsidR="00EC704A">
        <w:rPr>
          <w:lang w:eastAsia="en-AU"/>
        </w:rPr>
        <w:t xml:space="preserve"> This change will require specific funding </w:t>
      </w:r>
      <w:r w:rsidR="00EC704A" w:rsidRPr="00EC704A">
        <w:rPr>
          <w:lang w:eastAsia="en-AU"/>
        </w:rPr>
        <w:t>to expand options in treatment team workforce and service models, including</w:t>
      </w:r>
      <w:r w:rsidR="00EC704A">
        <w:rPr>
          <w:lang w:eastAsia="en-AU"/>
        </w:rPr>
        <w:t xml:space="preserve"> the </w:t>
      </w:r>
      <w:r w:rsidR="00EC704A" w:rsidRPr="00EC704A">
        <w:rPr>
          <w:lang w:eastAsia="en-AU"/>
        </w:rPr>
        <w:t>expansion of social work, trauma-informed support, occupational therapist, psychology, talk therapy, and peer support roles within Victorian mental health services</w:t>
      </w:r>
      <w:r w:rsidR="00EC704A">
        <w:rPr>
          <w:lang w:eastAsia="en-AU"/>
        </w:rPr>
        <w:t>.</w:t>
      </w:r>
    </w:p>
    <w:p w14:paraId="55A2D6C9" w14:textId="63DABBED" w:rsidR="00D8372F" w:rsidRDefault="00982287" w:rsidP="005F78C4">
      <w:r>
        <w:rPr>
          <w:lang w:eastAsia="en-AU"/>
        </w:rPr>
        <w:t>C</w:t>
      </w:r>
      <w:r w:rsidR="009C42C6" w:rsidRPr="00EA1994">
        <w:rPr>
          <w:lang w:eastAsia="en-AU"/>
        </w:rPr>
        <w:t>ommunity-based support</w:t>
      </w:r>
      <w:r>
        <w:rPr>
          <w:lang w:eastAsia="en-AU"/>
        </w:rPr>
        <w:t xml:space="preserve"> – </w:t>
      </w:r>
      <w:r w:rsidR="009C42C6" w:rsidRPr="00EA1994">
        <w:rPr>
          <w:lang w:eastAsia="en-AU"/>
        </w:rPr>
        <w:t xml:space="preserve">such as community mental health teams, continuing care units, and </w:t>
      </w:r>
      <w:r w:rsidR="002642EA">
        <w:rPr>
          <w:lang w:eastAsia="en-AU"/>
        </w:rPr>
        <w:t>P</w:t>
      </w:r>
      <w:r w:rsidR="009C42C6" w:rsidRPr="00EA1994">
        <w:rPr>
          <w:lang w:eastAsia="en-AU"/>
        </w:rPr>
        <w:t xml:space="preserve">revention and </w:t>
      </w:r>
      <w:r w:rsidR="002642EA">
        <w:rPr>
          <w:lang w:eastAsia="en-AU"/>
        </w:rPr>
        <w:t>R</w:t>
      </w:r>
      <w:r w:rsidR="009C42C6" w:rsidRPr="00EA1994">
        <w:rPr>
          <w:lang w:eastAsia="en-AU"/>
        </w:rPr>
        <w:t xml:space="preserve">ecovery </w:t>
      </w:r>
      <w:r w:rsidR="002642EA">
        <w:rPr>
          <w:lang w:eastAsia="en-AU"/>
        </w:rPr>
        <w:t>C</w:t>
      </w:r>
      <w:r w:rsidR="009C42C6" w:rsidRPr="00EA1994">
        <w:rPr>
          <w:lang w:eastAsia="en-AU"/>
        </w:rPr>
        <w:t xml:space="preserve">are </w:t>
      </w:r>
      <w:r w:rsidR="002642EA">
        <w:rPr>
          <w:lang w:eastAsia="en-AU"/>
        </w:rPr>
        <w:t>(</w:t>
      </w:r>
      <w:r w:rsidR="002642EA" w:rsidRPr="00D87AD3">
        <w:rPr>
          <w:b/>
          <w:lang w:eastAsia="en-AU"/>
        </w:rPr>
        <w:t>PARC</w:t>
      </w:r>
      <w:r w:rsidR="002642EA">
        <w:rPr>
          <w:lang w:eastAsia="en-AU"/>
        </w:rPr>
        <w:t>)</w:t>
      </w:r>
      <w:r w:rsidR="009C42C6" w:rsidRPr="00EA1994">
        <w:rPr>
          <w:lang w:eastAsia="en-AU"/>
        </w:rPr>
        <w:t xml:space="preserve"> services</w:t>
      </w:r>
      <w:r>
        <w:rPr>
          <w:lang w:eastAsia="en-AU"/>
        </w:rPr>
        <w:t xml:space="preserve"> – are inadequately funded, particularly </w:t>
      </w:r>
      <w:r w:rsidR="009C42C6" w:rsidRPr="00EA1994">
        <w:rPr>
          <w:lang w:eastAsia="en-AU"/>
        </w:rPr>
        <w:t>in comparison to inpatient services.</w:t>
      </w:r>
      <w:r w:rsidR="009C42C6" w:rsidRPr="00EA1994">
        <w:rPr>
          <w:vertAlign w:val="superscript"/>
          <w:lang w:eastAsia="en-AU"/>
        </w:rPr>
        <w:footnoteReference w:id="54"/>
      </w:r>
      <w:r w:rsidR="009C42C6" w:rsidRPr="00EA1994">
        <w:rPr>
          <w:lang w:eastAsia="en-AU"/>
        </w:rPr>
        <w:t xml:space="preserve"> IMHA’s Speaking From Experience consumer advisory group notes the defunding of some assertive outreach programs has further comp</w:t>
      </w:r>
      <w:r w:rsidR="009C42C6">
        <w:rPr>
          <w:lang w:eastAsia="en-AU"/>
        </w:rPr>
        <w:t>ound</w:t>
      </w:r>
      <w:r w:rsidR="009C42C6" w:rsidRPr="00EA1994">
        <w:rPr>
          <w:lang w:eastAsia="en-AU"/>
        </w:rPr>
        <w:t xml:space="preserve">ed </w:t>
      </w:r>
      <w:r>
        <w:rPr>
          <w:lang w:eastAsia="en-AU"/>
        </w:rPr>
        <w:t>lack of access to consumer-focused community-based supports</w:t>
      </w:r>
      <w:r w:rsidR="009C42C6" w:rsidRPr="00EA1994">
        <w:rPr>
          <w:lang w:eastAsia="en-AU"/>
        </w:rPr>
        <w:t>.</w:t>
      </w:r>
      <w:r w:rsidR="005E5F40">
        <w:rPr>
          <w:lang w:eastAsia="en-AU"/>
        </w:rPr>
        <w:t xml:space="preserve"> </w:t>
      </w:r>
      <w:r w:rsidR="00C575D5">
        <w:rPr>
          <w:lang w:eastAsia="en-AU"/>
        </w:rPr>
        <w:t>C</w:t>
      </w:r>
      <w:r w:rsidR="003E328B">
        <w:rPr>
          <w:lang w:eastAsia="en-AU"/>
        </w:rPr>
        <w:t xml:space="preserve">ommunity-based services </w:t>
      </w:r>
      <w:r w:rsidR="00C575D5">
        <w:rPr>
          <w:lang w:eastAsia="en-AU"/>
        </w:rPr>
        <w:t xml:space="preserve">should be adequately </w:t>
      </w:r>
      <w:r w:rsidR="0090613B">
        <w:rPr>
          <w:lang w:eastAsia="en-AU"/>
        </w:rPr>
        <w:t>resourced to play</w:t>
      </w:r>
      <w:r w:rsidR="00C575D5">
        <w:rPr>
          <w:lang w:eastAsia="en-AU"/>
        </w:rPr>
        <w:t xml:space="preserve"> a crucial prevention role in Victoria’s mental health system</w:t>
      </w:r>
      <w:r w:rsidR="0090613B">
        <w:rPr>
          <w:lang w:eastAsia="en-AU"/>
        </w:rPr>
        <w:t xml:space="preserve">. Additional resourcing for community-based supports will </w:t>
      </w:r>
      <w:r w:rsidR="003E328B">
        <w:rPr>
          <w:lang w:eastAsia="en-AU"/>
        </w:rPr>
        <w:t>ensur</w:t>
      </w:r>
      <w:r w:rsidR="0090613B">
        <w:rPr>
          <w:lang w:eastAsia="en-AU"/>
        </w:rPr>
        <w:t>e</w:t>
      </w:r>
      <w:r w:rsidR="003E328B">
        <w:rPr>
          <w:lang w:eastAsia="en-AU"/>
        </w:rPr>
        <w:t xml:space="preserve"> that</w:t>
      </w:r>
      <w:r w:rsidR="000F75B1">
        <w:rPr>
          <w:lang w:eastAsia="en-AU"/>
        </w:rPr>
        <w:t xml:space="preserve"> c</w:t>
      </w:r>
      <w:r w:rsidR="003E328B">
        <w:t xml:space="preserve">onsumers </w:t>
      </w:r>
      <w:r w:rsidR="00D8372F">
        <w:t>can access the supports they need when they need them</w:t>
      </w:r>
      <w:r w:rsidR="000F75B1">
        <w:t xml:space="preserve"> in the community (before mental health issues escalate), and rates of crisis admission and compulsory treatment will decrease.</w:t>
      </w:r>
    </w:p>
    <w:p w14:paraId="32435C86" w14:textId="0AAB9311" w:rsidR="009C42C6" w:rsidRDefault="009C42C6" w:rsidP="009C42C6">
      <w:pPr>
        <w:rPr>
          <w:lang w:eastAsia="en-AU"/>
        </w:rPr>
      </w:pPr>
      <w:r>
        <w:rPr>
          <w:lang w:eastAsia="en-AU"/>
        </w:rPr>
        <w:t>PARCs are intended to operate as both a ‘step-up’ and ‘step-down’ facility for people who require greater support than they can receive at home, but do not require hospitalisation</w:t>
      </w:r>
      <w:r w:rsidR="00EC704A">
        <w:rPr>
          <w:lang w:eastAsia="en-AU"/>
        </w:rPr>
        <w:t xml:space="preserve">. In practice, </w:t>
      </w:r>
      <w:r>
        <w:rPr>
          <w:lang w:eastAsia="en-AU"/>
        </w:rPr>
        <w:t xml:space="preserve">we see PARCs used almost exclusively as a ‘step-down’ for </w:t>
      </w:r>
      <w:r w:rsidR="00EC704A">
        <w:rPr>
          <w:lang w:eastAsia="en-AU"/>
        </w:rPr>
        <w:t>people</w:t>
      </w:r>
      <w:r>
        <w:rPr>
          <w:lang w:eastAsia="en-AU"/>
        </w:rPr>
        <w:t xml:space="preserve"> leaving hospital</w:t>
      </w:r>
      <w:r w:rsidR="00EC704A">
        <w:rPr>
          <w:lang w:eastAsia="en-AU"/>
        </w:rPr>
        <w:t>,</w:t>
      </w:r>
      <w:r>
        <w:rPr>
          <w:lang w:eastAsia="en-AU"/>
        </w:rPr>
        <w:t xml:space="preserve"> with limited capacity </w:t>
      </w:r>
      <w:r w:rsidR="00EC704A">
        <w:rPr>
          <w:lang w:eastAsia="en-AU"/>
        </w:rPr>
        <w:t>for use</w:t>
      </w:r>
      <w:r>
        <w:rPr>
          <w:lang w:eastAsia="en-AU"/>
        </w:rPr>
        <w:t xml:space="preserve"> as a ‘step-up’ option. </w:t>
      </w:r>
      <w:r w:rsidR="00EC704A">
        <w:rPr>
          <w:lang w:eastAsia="en-AU"/>
        </w:rPr>
        <w:t>In addition, m</w:t>
      </w:r>
      <w:r>
        <w:rPr>
          <w:lang w:eastAsia="en-AU"/>
        </w:rPr>
        <w:t>ost PARCs have a maximum length of stay of 28 days.</w:t>
      </w:r>
    </w:p>
    <w:p w14:paraId="69C598A6" w14:textId="5619B75A" w:rsidR="00EC704A" w:rsidRDefault="009C42C6" w:rsidP="009C42C6">
      <w:pPr>
        <w:rPr>
          <w:lang w:eastAsia="en-AU"/>
        </w:rPr>
      </w:pPr>
      <w:r w:rsidRPr="00EA1994">
        <w:rPr>
          <w:lang w:eastAsia="en-AU"/>
        </w:rPr>
        <w:t xml:space="preserve">VLA supports </w:t>
      </w:r>
      <w:r>
        <w:rPr>
          <w:lang w:eastAsia="en-AU"/>
        </w:rPr>
        <w:t xml:space="preserve">Interim Report </w:t>
      </w:r>
      <w:r w:rsidR="00A56240">
        <w:rPr>
          <w:lang w:eastAsia="en-AU"/>
        </w:rPr>
        <w:t>r</w:t>
      </w:r>
      <w:r w:rsidRPr="00EA1994">
        <w:rPr>
          <w:lang w:eastAsia="en-AU"/>
        </w:rPr>
        <w:t>ecommendations 2, 3 and 5 to increase assertive outreach in the community, expand follow-up care and support for people after a suicide attempt, and develop a lived experience led residential mental health service.</w:t>
      </w:r>
      <w:r w:rsidR="00A54FDC">
        <w:rPr>
          <w:rStyle w:val="FootnoteReference"/>
          <w:lang w:eastAsia="en-AU"/>
        </w:rPr>
        <w:footnoteReference w:id="55"/>
      </w:r>
      <w:r w:rsidR="00A54FDC">
        <w:rPr>
          <w:lang w:eastAsia="en-AU"/>
        </w:rPr>
        <w:t xml:space="preserve"> </w:t>
      </w:r>
      <w:r w:rsidR="00707598">
        <w:rPr>
          <w:lang w:eastAsia="en-AU"/>
        </w:rPr>
        <w:t>It is critical that people be able to access flexible, responsive clinical and non-clinical community and inpatient services.</w:t>
      </w:r>
      <w:r w:rsidR="00EC704A">
        <w:rPr>
          <w:lang w:eastAsia="en-AU"/>
        </w:rPr>
        <w:t xml:space="preserve"> </w:t>
      </w:r>
      <w:r w:rsidR="00EC704A" w:rsidRPr="00B40109">
        <w:rPr>
          <w:szCs w:val="22"/>
        </w:rPr>
        <w:t xml:space="preserve">In line with VLA’s recommendations in the </w:t>
      </w:r>
      <w:r w:rsidR="00A56240">
        <w:rPr>
          <w:szCs w:val="22"/>
        </w:rPr>
        <w:t>s</w:t>
      </w:r>
      <w:r w:rsidR="00EC704A" w:rsidRPr="00B40109">
        <w:rPr>
          <w:szCs w:val="22"/>
        </w:rPr>
        <w:t>ection</w:t>
      </w:r>
      <w:r w:rsidR="00EC704A">
        <w:rPr>
          <w:szCs w:val="22"/>
        </w:rPr>
        <w:t xml:space="preserve"> 1 of this submission</w:t>
      </w:r>
      <w:r w:rsidR="00EC704A" w:rsidRPr="00B40109">
        <w:rPr>
          <w:szCs w:val="22"/>
        </w:rPr>
        <w:t xml:space="preserve">, </w:t>
      </w:r>
      <w:r w:rsidR="00EC704A">
        <w:rPr>
          <w:szCs w:val="22"/>
        </w:rPr>
        <w:t xml:space="preserve">any changes </w:t>
      </w:r>
      <w:r w:rsidR="005E4853">
        <w:rPr>
          <w:szCs w:val="22"/>
        </w:rPr>
        <w:t xml:space="preserve">should </w:t>
      </w:r>
      <w:r w:rsidR="00EC704A">
        <w:rPr>
          <w:szCs w:val="22"/>
        </w:rPr>
        <w:t>be co-</w:t>
      </w:r>
      <w:r w:rsidR="008565F5">
        <w:rPr>
          <w:szCs w:val="22"/>
        </w:rPr>
        <w:t>produced</w:t>
      </w:r>
      <w:r w:rsidR="00EC704A">
        <w:rPr>
          <w:szCs w:val="22"/>
        </w:rPr>
        <w:t xml:space="preserve"> with consumers</w:t>
      </w:r>
      <w:r w:rsidR="00EC704A" w:rsidRPr="00B40109">
        <w:rPr>
          <w:szCs w:val="22"/>
        </w:rPr>
        <w:t>.</w:t>
      </w:r>
      <w:r w:rsidR="00EC704A" w:rsidRPr="00B40109">
        <w:rPr>
          <w:rStyle w:val="FootnoteReference"/>
          <w:sz w:val="22"/>
          <w:szCs w:val="22"/>
        </w:rPr>
        <w:footnoteReference w:id="56"/>
      </w:r>
    </w:p>
    <w:p w14:paraId="31465F71" w14:textId="41C91AD1" w:rsidR="009C42C6" w:rsidRPr="001028B6" w:rsidRDefault="003C1CF3" w:rsidP="00833F8F">
      <w:pPr>
        <w:pageBreakBefore/>
        <w:shd w:val="clear" w:color="auto" w:fill="DEEAF6" w:themeFill="accent5" w:themeFillTint="33"/>
        <w:spacing w:before="240"/>
        <w:ind w:left="3119" w:hanging="2693"/>
      </w:pPr>
      <w:bookmarkStart w:id="423" w:name="_Toc40355754"/>
      <w:bookmarkStart w:id="424" w:name="_Toc41325348"/>
      <w:bookmarkStart w:id="425" w:name="_Toc41332796"/>
      <w:bookmarkStart w:id="426" w:name="_Toc41411938"/>
      <w:r w:rsidRPr="00B9060C">
        <w:rPr>
          <w:b/>
          <w:bCs/>
        </w:rPr>
        <w:lastRenderedPageBreak/>
        <w:t>Recommendation 1</w:t>
      </w:r>
      <w:r>
        <w:rPr>
          <w:b/>
          <w:bCs/>
        </w:rPr>
        <w:t>3:</w:t>
      </w:r>
      <w:r w:rsidR="00BF5882">
        <w:rPr>
          <w:b/>
          <w:bCs/>
        </w:rPr>
        <w:tab/>
      </w:r>
      <w:r>
        <w:rPr>
          <w:b/>
          <w:bCs/>
        </w:rPr>
        <w:t xml:space="preserve"> </w:t>
      </w:r>
      <w:r w:rsidR="007560D0" w:rsidRPr="003C1CF3">
        <w:rPr>
          <w:b/>
          <w:bCs/>
        </w:rPr>
        <w:t>Improve access to h</w:t>
      </w:r>
      <w:r w:rsidR="009C42C6" w:rsidRPr="003C1CF3">
        <w:rPr>
          <w:b/>
          <w:bCs/>
        </w:rPr>
        <w:t xml:space="preserve">olistic </w:t>
      </w:r>
      <w:r w:rsidR="00C028B1" w:rsidRPr="003C1CF3">
        <w:rPr>
          <w:b/>
          <w:bCs/>
        </w:rPr>
        <w:t>and flexible treatment</w:t>
      </w:r>
      <w:bookmarkEnd w:id="423"/>
      <w:bookmarkEnd w:id="424"/>
      <w:bookmarkEnd w:id="425"/>
      <w:bookmarkEnd w:id="426"/>
    </w:p>
    <w:p w14:paraId="4B0AA7F9" w14:textId="3D6D36DE" w:rsidR="009C42C6" w:rsidRPr="003C1CF3" w:rsidRDefault="009C42C6" w:rsidP="00833F8F">
      <w:pPr>
        <w:shd w:val="clear" w:color="auto" w:fill="DEEAF6" w:themeFill="accent5" w:themeFillTint="33"/>
        <w:ind w:left="426"/>
      </w:pPr>
      <w:r w:rsidRPr="003C1CF3">
        <w:t xml:space="preserve">The Victorian Government should </w:t>
      </w:r>
      <w:r w:rsidR="00C028B1" w:rsidRPr="003C1CF3">
        <w:t>increase funding to expand</w:t>
      </w:r>
      <w:r w:rsidR="00D86E68" w:rsidRPr="003C1CF3">
        <w:t xml:space="preserve"> </w:t>
      </w:r>
      <w:r w:rsidR="00737DE8" w:rsidRPr="003C1CF3">
        <w:t xml:space="preserve">community-based mental health supports and </w:t>
      </w:r>
      <w:r w:rsidR="002A2279" w:rsidRPr="003C1CF3">
        <w:t xml:space="preserve">multidisciplinary </w:t>
      </w:r>
      <w:r w:rsidR="00C028B1" w:rsidRPr="003C1CF3">
        <w:t>options</w:t>
      </w:r>
      <w:r w:rsidRPr="003C1CF3">
        <w:t xml:space="preserve"> in treatment team workforce and service models</w:t>
      </w:r>
      <w:r w:rsidR="00EC704A" w:rsidRPr="003C1CF3">
        <w:t xml:space="preserve"> for </w:t>
      </w:r>
      <w:r w:rsidRPr="003C1CF3">
        <w:t>consumers</w:t>
      </w:r>
      <w:r w:rsidR="00EC704A" w:rsidRPr="003C1CF3">
        <w:t xml:space="preserve"> to</w:t>
      </w:r>
      <w:r w:rsidRPr="003C1CF3">
        <w:t xml:space="preserve"> </w:t>
      </w:r>
      <w:r w:rsidR="00EC704A" w:rsidRPr="003C1CF3">
        <w:t>have</w:t>
      </w:r>
      <w:r w:rsidRPr="003C1CF3">
        <w:t xml:space="preserve"> genuine choice </w:t>
      </w:r>
      <w:r w:rsidR="00EC704A" w:rsidRPr="003C1CF3">
        <w:t xml:space="preserve">about the </w:t>
      </w:r>
      <w:r w:rsidRPr="003C1CF3">
        <w:t>type of support they receive</w:t>
      </w:r>
      <w:r w:rsidR="00737DE8" w:rsidRPr="003C1CF3">
        <w:t>.</w:t>
      </w:r>
    </w:p>
    <w:p w14:paraId="7A86BBEE" w14:textId="5B43F9FA" w:rsidR="007B52B7" w:rsidRDefault="00084CDB">
      <w:r>
        <w:t xml:space="preserve">As discussed in </w:t>
      </w:r>
      <w:r>
        <w:rPr>
          <w:i/>
          <w:iCs/>
        </w:rPr>
        <w:t xml:space="preserve">Roads to Recovery, </w:t>
      </w:r>
      <w:r>
        <w:t xml:space="preserve">there are limited service options between </w:t>
      </w:r>
      <w:r w:rsidR="00A56240">
        <w:t xml:space="preserve">ten </w:t>
      </w:r>
      <w:r w:rsidR="003D6B5D">
        <w:t>Medicare-subsidised psychology sessions through a Mental Health Care Plan and crisis interventions.</w:t>
      </w:r>
      <w:r w:rsidR="00BF3206">
        <w:rPr>
          <w:rStyle w:val="FootnoteReference"/>
        </w:rPr>
        <w:footnoteReference w:id="57"/>
      </w:r>
      <w:r w:rsidR="003D6B5D">
        <w:t xml:space="preserve"> </w:t>
      </w:r>
      <w:r w:rsidR="00CC6516">
        <w:t xml:space="preserve">Too often this gap draws people into </w:t>
      </w:r>
      <w:r w:rsidR="00C05A6A">
        <w:t xml:space="preserve">compulsory treatment or other crisis-based services which </w:t>
      </w:r>
      <w:r w:rsidR="00A81A40">
        <w:t>often</w:t>
      </w:r>
      <w:r w:rsidR="00C05A6A">
        <w:t xml:space="preserve"> lead</w:t>
      </w:r>
      <w:r w:rsidR="00A81A40">
        <w:t>s</w:t>
      </w:r>
      <w:r w:rsidR="00C05A6A">
        <w:t xml:space="preserve"> to loss of autonomy.</w:t>
      </w:r>
      <w:r w:rsidR="00C05A6A">
        <w:rPr>
          <w:rStyle w:val="FootnoteReference"/>
        </w:rPr>
        <w:footnoteReference w:id="58"/>
      </w:r>
    </w:p>
    <w:p w14:paraId="7B78682E" w14:textId="0F1FC32A" w:rsidR="002A4D37" w:rsidRPr="003C1CF3" w:rsidRDefault="003C1CF3" w:rsidP="00833F8F">
      <w:pPr>
        <w:shd w:val="clear" w:color="auto" w:fill="DEEAF6" w:themeFill="accent5" w:themeFillTint="33"/>
        <w:spacing w:line="240" w:lineRule="auto"/>
        <w:ind w:left="3119" w:hanging="2693"/>
      </w:pPr>
      <w:bookmarkStart w:id="427" w:name="_Toc40355755"/>
      <w:bookmarkStart w:id="428" w:name="_Toc41325349"/>
      <w:bookmarkStart w:id="429" w:name="_Toc41332798"/>
      <w:bookmarkStart w:id="430" w:name="_Toc41411939"/>
      <w:r w:rsidRPr="00B9060C">
        <w:rPr>
          <w:b/>
          <w:bCs/>
        </w:rPr>
        <w:t>Recommendation 1</w:t>
      </w:r>
      <w:r>
        <w:rPr>
          <w:b/>
          <w:bCs/>
        </w:rPr>
        <w:t xml:space="preserve">4: </w:t>
      </w:r>
      <w:r w:rsidR="00BF5882">
        <w:rPr>
          <w:b/>
          <w:bCs/>
        </w:rPr>
        <w:tab/>
      </w:r>
      <w:r w:rsidR="007560D0" w:rsidRPr="003C1CF3">
        <w:rPr>
          <w:b/>
          <w:bCs/>
        </w:rPr>
        <w:t>W</w:t>
      </w:r>
      <w:bookmarkStart w:id="431" w:name="_Hlk41416272"/>
      <w:r w:rsidR="007560D0" w:rsidRPr="003C1CF3">
        <w:rPr>
          <w:b/>
          <w:bCs/>
        </w:rPr>
        <w:t>ork with Australian government to e</w:t>
      </w:r>
      <w:r w:rsidR="002A4D37" w:rsidRPr="003C1CF3">
        <w:rPr>
          <w:b/>
          <w:bCs/>
        </w:rPr>
        <w:t>xpan</w:t>
      </w:r>
      <w:r w:rsidR="007560D0" w:rsidRPr="003C1CF3">
        <w:rPr>
          <w:b/>
          <w:bCs/>
        </w:rPr>
        <w:t xml:space="preserve">d Medicare funding for </w:t>
      </w:r>
      <w:r w:rsidR="002A4D37" w:rsidRPr="003C1CF3">
        <w:rPr>
          <w:b/>
          <w:bCs/>
        </w:rPr>
        <w:t xml:space="preserve">Mental Health </w:t>
      </w:r>
      <w:r w:rsidR="00C00218" w:rsidRPr="003C1CF3">
        <w:rPr>
          <w:b/>
          <w:bCs/>
        </w:rPr>
        <w:t xml:space="preserve">Care </w:t>
      </w:r>
      <w:r w:rsidR="002A4D37" w:rsidRPr="003C1CF3">
        <w:rPr>
          <w:b/>
          <w:bCs/>
        </w:rPr>
        <w:t>Plans</w:t>
      </w:r>
      <w:bookmarkEnd w:id="427"/>
      <w:bookmarkEnd w:id="428"/>
      <w:bookmarkEnd w:id="429"/>
      <w:bookmarkEnd w:id="430"/>
    </w:p>
    <w:bookmarkEnd w:id="431"/>
    <w:p w14:paraId="3752B862" w14:textId="5D1CBCF6" w:rsidR="002A4D37" w:rsidRPr="003C1CF3" w:rsidRDefault="002A4D37" w:rsidP="00833F8F">
      <w:pPr>
        <w:shd w:val="clear" w:color="auto" w:fill="DEEAF6" w:themeFill="accent5" w:themeFillTint="33"/>
        <w:ind w:left="426"/>
      </w:pPr>
      <w:r w:rsidRPr="003C1CF3">
        <w:t xml:space="preserve">The </w:t>
      </w:r>
      <w:r w:rsidR="167E2468" w:rsidRPr="003C1CF3">
        <w:t>Victorian Government</w:t>
      </w:r>
      <w:r w:rsidRPr="003C1CF3">
        <w:t xml:space="preserve"> should work with the Australian Government to bridge the gap between </w:t>
      </w:r>
      <w:r w:rsidR="00196232" w:rsidRPr="003C1CF3">
        <w:t>mental health supports</w:t>
      </w:r>
      <w:r w:rsidRPr="003C1CF3">
        <w:t xml:space="preserve"> available through a Mental Health </w:t>
      </w:r>
      <w:r w:rsidR="00C00218" w:rsidRPr="003C1CF3">
        <w:t>Care</w:t>
      </w:r>
      <w:r w:rsidRPr="003C1CF3">
        <w:t xml:space="preserve"> Plan and an individual’s mental health support needs.</w:t>
      </w:r>
    </w:p>
    <w:p w14:paraId="33521EA0" w14:textId="7D574DD4" w:rsidR="00705C04" w:rsidRDefault="00A81A40">
      <w:pPr>
        <w:pStyle w:val="Heading2"/>
      </w:pPr>
      <w:bookmarkStart w:id="432" w:name="_Toc41651956"/>
      <w:r>
        <w:t xml:space="preserve">Coordination between </w:t>
      </w:r>
      <w:r w:rsidR="00C91709">
        <w:t>mental health,</w:t>
      </w:r>
      <w:r>
        <w:t xml:space="preserve"> health and disability supports</w:t>
      </w:r>
      <w:bookmarkEnd w:id="432"/>
    </w:p>
    <w:p w14:paraId="51156F8E" w14:textId="3A29DA48" w:rsidR="00430C3E" w:rsidRDefault="00FA2DF2" w:rsidP="009C42C6">
      <w:pPr>
        <w:rPr>
          <w:lang w:eastAsia="en-AU"/>
        </w:rPr>
      </w:pPr>
      <w:bookmarkStart w:id="433" w:name="_Toc40215264"/>
      <w:bookmarkStart w:id="434" w:name="_Toc40216013"/>
      <w:bookmarkStart w:id="435" w:name="_Toc40216638"/>
      <w:bookmarkStart w:id="436" w:name="_Toc40217259"/>
      <w:bookmarkStart w:id="437" w:name="_Toc40217880"/>
      <w:bookmarkStart w:id="438" w:name="_Toc40245703"/>
      <w:bookmarkStart w:id="439" w:name="_Toc40246359"/>
      <w:bookmarkStart w:id="440" w:name="_Toc40247020"/>
      <w:bookmarkStart w:id="441" w:name="_Toc40186369"/>
      <w:bookmarkStart w:id="442" w:name="_Toc40186764"/>
      <w:bookmarkStart w:id="443" w:name="_Toc40215266"/>
      <w:bookmarkStart w:id="444" w:name="_Toc40216015"/>
      <w:bookmarkStart w:id="445" w:name="_Toc40216640"/>
      <w:bookmarkStart w:id="446" w:name="_Toc40217261"/>
      <w:bookmarkStart w:id="447" w:name="_Toc40217882"/>
      <w:bookmarkStart w:id="448" w:name="_Toc40245705"/>
      <w:bookmarkStart w:id="449" w:name="_Toc40246361"/>
      <w:bookmarkStart w:id="450" w:name="_Toc40247021"/>
      <w:bookmarkStart w:id="451" w:name="_Toc40215267"/>
      <w:bookmarkStart w:id="452" w:name="_Toc40216016"/>
      <w:bookmarkStart w:id="453" w:name="_Toc40216641"/>
      <w:bookmarkStart w:id="454" w:name="_Toc40217262"/>
      <w:bookmarkStart w:id="455" w:name="_Toc40217883"/>
      <w:bookmarkStart w:id="456" w:name="_Toc40245706"/>
      <w:bookmarkStart w:id="457" w:name="_Toc40246362"/>
      <w:bookmarkStart w:id="458" w:name="_Toc40247022"/>
      <w:bookmarkStart w:id="459" w:name="_Toc40215268"/>
      <w:bookmarkStart w:id="460" w:name="_Toc40216017"/>
      <w:bookmarkStart w:id="461" w:name="_Toc40216642"/>
      <w:bookmarkStart w:id="462" w:name="_Toc40217263"/>
      <w:bookmarkStart w:id="463" w:name="_Toc40217884"/>
      <w:bookmarkStart w:id="464" w:name="_Toc40245707"/>
      <w:bookmarkStart w:id="465" w:name="_Toc40246363"/>
      <w:bookmarkStart w:id="466" w:name="_Toc40247023"/>
      <w:bookmarkStart w:id="467" w:name="_Toc40215269"/>
      <w:bookmarkStart w:id="468" w:name="_Toc40216018"/>
      <w:bookmarkStart w:id="469" w:name="_Toc40216643"/>
      <w:bookmarkStart w:id="470" w:name="_Toc40217264"/>
      <w:bookmarkStart w:id="471" w:name="_Toc40217885"/>
      <w:bookmarkStart w:id="472" w:name="_Toc40245708"/>
      <w:bookmarkStart w:id="473" w:name="_Toc40246364"/>
      <w:bookmarkStart w:id="474" w:name="_Toc40247024"/>
      <w:bookmarkStart w:id="475" w:name="_Toc40215270"/>
      <w:bookmarkStart w:id="476" w:name="_Toc40216019"/>
      <w:bookmarkStart w:id="477" w:name="_Toc40216644"/>
      <w:bookmarkStart w:id="478" w:name="_Toc40217265"/>
      <w:bookmarkStart w:id="479" w:name="_Toc40217886"/>
      <w:bookmarkStart w:id="480" w:name="_Toc40245709"/>
      <w:bookmarkStart w:id="481" w:name="_Toc40246365"/>
      <w:bookmarkStart w:id="482" w:name="_Toc40247025"/>
      <w:bookmarkStart w:id="483" w:name="_Toc40215271"/>
      <w:bookmarkStart w:id="484" w:name="_Toc40216020"/>
      <w:bookmarkStart w:id="485" w:name="_Toc40216645"/>
      <w:bookmarkStart w:id="486" w:name="_Toc40217266"/>
      <w:bookmarkStart w:id="487" w:name="_Toc40217887"/>
      <w:bookmarkStart w:id="488" w:name="_Toc40245710"/>
      <w:bookmarkStart w:id="489" w:name="_Toc40246366"/>
      <w:bookmarkStart w:id="490" w:name="_Toc40247026"/>
      <w:bookmarkStart w:id="491" w:name="_Toc40215272"/>
      <w:bookmarkStart w:id="492" w:name="_Toc40216021"/>
      <w:bookmarkStart w:id="493" w:name="_Toc40216646"/>
      <w:bookmarkStart w:id="494" w:name="_Toc40217267"/>
      <w:bookmarkStart w:id="495" w:name="_Toc40217888"/>
      <w:bookmarkStart w:id="496" w:name="_Toc40245711"/>
      <w:bookmarkStart w:id="497" w:name="_Toc40246367"/>
      <w:bookmarkStart w:id="498" w:name="_Toc40247027"/>
      <w:bookmarkStart w:id="499" w:name="_Toc40215273"/>
      <w:bookmarkStart w:id="500" w:name="_Toc40216022"/>
      <w:bookmarkStart w:id="501" w:name="_Toc40216647"/>
      <w:bookmarkStart w:id="502" w:name="_Toc40217268"/>
      <w:bookmarkStart w:id="503" w:name="_Toc40217889"/>
      <w:bookmarkStart w:id="504" w:name="_Toc40245712"/>
      <w:bookmarkStart w:id="505" w:name="_Toc40246368"/>
      <w:bookmarkStart w:id="506" w:name="_Toc40247028"/>
      <w:bookmarkStart w:id="507" w:name="_Toc40215274"/>
      <w:bookmarkStart w:id="508" w:name="_Toc40216023"/>
      <w:bookmarkStart w:id="509" w:name="_Toc40216648"/>
      <w:bookmarkStart w:id="510" w:name="_Toc40217269"/>
      <w:bookmarkStart w:id="511" w:name="_Toc40217890"/>
      <w:bookmarkStart w:id="512" w:name="_Toc40245713"/>
      <w:bookmarkStart w:id="513" w:name="_Toc40246369"/>
      <w:bookmarkStart w:id="514" w:name="_Toc40247029"/>
      <w:bookmarkStart w:id="515" w:name="_Toc40215275"/>
      <w:bookmarkStart w:id="516" w:name="_Toc40216024"/>
      <w:bookmarkStart w:id="517" w:name="_Toc40216649"/>
      <w:bookmarkStart w:id="518" w:name="_Toc40217270"/>
      <w:bookmarkStart w:id="519" w:name="_Toc40217891"/>
      <w:bookmarkStart w:id="520" w:name="_Toc40245714"/>
      <w:bookmarkStart w:id="521" w:name="_Toc40246370"/>
      <w:bookmarkStart w:id="522" w:name="_Toc40247030"/>
      <w:bookmarkStart w:id="523" w:name="_Toc40186374"/>
      <w:bookmarkStart w:id="524" w:name="_Toc40186769"/>
      <w:bookmarkStart w:id="525" w:name="_Toc40215276"/>
      <w:bookmarkStart w:id="526" w:name="_Toc40216025"/>
      <w:bookmarkStart w:id="527" w:name="_Toc40216650"/>
      <w:bookmarkStart w:id="528" w:name="_Toc40217271"/>
      <w:bookmarkStart w:id="529" w:name="_Toc40217892"/>
      <w:bookmarkStart w:id="530" w:name="_Toc40245715"/>
      <w:bookmarkStart w:id="531" w:name="_Toc40246371"/>
      <w:bookmarkStart w:id="532" w:name="_Toc40247031"/>
      <w:bookmarkStart w:id="533" w:name="_Toc40186375"/>
      <w:bookmarkStart w:id="534" w:name="_Toc40186770"/>
      <w:bookmarkStart w:id="535" w:name="_Toc40215277"/>
      <w:bookmarkStart w:id="536" w:name="_Toc40216026"/>
      <w:bookmarkStart w:id="537" w:name="_Toc40216651"/>
      <w:bookmarkStart w:id="538" w:name="_Toc40217272"/>
      <w:bookmarkStart w:id="539" w:name="_Toc40217893"/>
      <w:bookmarkStart w:id="540" w:name="_Toc40245716"/>
      <w:bookmarkStart w:id="541" w:name="_Toc40246372"/>
      <w:bookmarkStart w:id="542" w:name="_Toc40247032"/>
      <w:bookmarkStart w:id="543" w:name="_Toc40247033"/>
      <w:bookmarkStart w:id="544" w:name="_Toc40247034"/>
      <w:bookmarkStart w:id="545" w:name="_Toc40247035"/>
      <w:bookmarkStart w:id="546" w:name="_Toc40247036"/>
      <w:bookmarkStart w:id="547" w:name="_Toc40247037"/>
      <w:bookmarkStart w:id="548" w:name="_Toc40247038"/>
      <w:bookmarkStart w:id="549" w:name="_Toc40247039"/>
      <w:bookmarkStart w:id="550" w:name="_Toc40247040"/>
      <w:bookmarkStart w:id="551" w:name="_Toc40247041"/>
      <w:bookmarkStart w:id="552" w:name="_Toc40247042"/>
      <w:bookmarkStart w:id="553" w:name="_Toc40247043"/>
      <w:bookmarkStart w:id="554" w:name="_Toc40247044"/>
      <w:bookmarkStart w:id="555" w:name="_Toc40247045"/>
      <w:bookmarkStart w:id="556" w:name="_Toc40247046"/>
      <w:bookmarkStart w:id="557" w:name="_Toc40247047"/>
      <w:bookmarkStart w:id="558" w:name="_Toc40247048"/>
      <w:bookmarkStart w:id="559" w:name="_Toc40247049"/>
      <w:bookmarkStart w:id="560" w:name="_Toc40247050"/>
      <w:bookmarkStart w:id="561" w:name="_Toc40247051"/>
      <w:bookmarkStart w:id="562" w:name="_Toc40247052"/>
      <w:bookmarkStart w:id="563" w:name="_Toc40247053"/>
      <w:bookmarkStart w:id="564" w:name="_Toc40247054"/>
      <w:bookmarkStart w:id="565" w:name="_Toc40247055"/>
      <w:bookmarkStart w:id="566" w:name="_Toc40247056"/>
      <w:bookmarkStart w:id="567" w:name="_Toc40247057"/>
      <w:bookmarkStart w:id="568" w:name="_Toc40247058"/>
      <w:bookmarkStart w:id="569" w:name="_Toc40247059"/>
      <w:bookmarkStart w:id="570" w:name="_Toc40247060"/>
      <w:bookmarkStart w:id="571" w:name="_Toc40247061"/>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lang w:eastAsia="en-AU"/>
        </w:rPr>
        <w:t xml:space="preserve">Ensuring access to appropriate supports requires state and federal governments to work together to </w:t>
      </w:r>
      <w:r w:rsidR="426ECFE8" w:rsidRPr="065EA109">
        <w:rPr>
          <w:lang w:eastAsia="en-AU"/>
        </w:rPr>
        <w:t>ensure</w:t>
      </w:r>
      <w:r>
        <w:rPr>
          <w:lang w:eastAsia="en-AU"/>
        </w:rPr>
        <w:t xml:space="preserve"> that appropriate mental health, health and disability supports are available, regardless of which government has jurisdiction. </w:t>
      </w:r>
      <w:r w:rsidR="007B745D">
        <w:rPr>
          <w:lang w:eastAsia="en-AU"/>
        </w:rPr>
        <w:t>T</w:t>
      </w:r>
      <w:r>
        <w:rPr>
          <w:lang w:eastAsia="en-AU"/>
        </w:rPr>
        <w:t>h</w:t>
      </w:r>
      <w:r w:rsidR="00430C3E">
        <w:rPr>
          <w:lang w:eastAsia="en-AU"/>
        </w:rPr>
        <w:t xml:space="preserve">is will require coordination between state and federal governments and mainstream services (including Medicare-subsidised psychologists, psychiatrists, GPs), the </w:t>
      </w:r>
      <w:r w:rsidR="009C42C6">
        <w:rPr>
          <w:lang w:eastAsia="en-AU"/>
        </w:rPr>
        <w:t xml:space="preserve">NDIS </w:t>
      </w:r>
      <w:r w:rsidR="00430C3E">
        <w:rPr>
          <w:lang w:eastAsia="en-AU"/>
        </w:rPr>
        <w:t>and mental health services.</w:t>
      </w:r>
    </w:p>
    <w:p w14:paraId="67A89248" w14:textId="358AF254" w:rsidR="009C42C6" w:rsidRDefault="00FA2DF2" w:rsidP="009C42C6">
      <w:pPr>
        <w:rPr>
          <w:lang w:eastAsia="en-AU"/>
        </w:rPr>
      </w:pPr>
      <w:r>
        <w:rPr>
          <w:lang w:eastAsia="en-AU"/>
        </w:rPr>
        <w:t>As another example, t</w:t>
      </w:r>
      <w:r w:rsidR="00EC704A">
        <w:rPr>
          <w:lang w:eastAsia="en-AU"/>
        </w:rPr>
        <w:t>he</w:t>
      </w:r>
      <w:r w:rsidR="009C42C6">
        <w:rPr>
          <w:lang w:eastAsia="en-AU"/>
        </w:rPr>
        <w:t xml:space="preserve"> NDIS </w:t>
      </w:r>
      <w:r w:rsidR="00EC704A">
        <w:rPr>
          <w:lang w:eastAsia="en-AU"/>
        </w:rPr>
        <w:t>was intended</w:t>
      </w:r>
      <w:r w:rsidR="009C42C6">
        <w:rPr>
          <w:lang w:eastAsia="en-AU"/>
        </w:rPr>
        <w:t xml:space="preserve"> to </w:t>
      </w:r>
      <w:r w:rsidR="00EC704A">
        <w:rPr>
          <w:lang w:eastAsia="en-AU"/>
        </w:rPr>
        <w:t>provide choice and control for</w:t>
      </w:r>
      <w:r w:rsidR="009C42C6">
        <w:rPr>
          <w:lang w:eastAsia="en-AU"/>
        </w:rPr>
        <w:t xml:space="preserve"> people with psychosocial disability</w:t>
      </w:r>
      <w:r w:rsidR="5E1D503E">
        <w:rPr>
          <w:lang w:eastAsia="en-AU"/>
        </w:rPr>
        <w:t>, but</w:t>
      </w:r>
      <w:r w:rsidR="009C42C6">
        <w:rPr>
          <w:lang w:eastAsia="en-AU"/>
        </w:rPr>
        <w:t xml:space="preserve"> the NDIS has </w:t>
      </w:r>
      <w:r w:rsidR="00EC704A">
        <w:rPr>
          <w:lang w:eastAsia="en-AU"/>
        </w:rPr>
        <w:t>not fulfilled its promise, with demonstrated service</w:t>
      </w:r>
      <w:r w:rsidR="009C42C6">
        <w:rPr>
          <w:lang w:eastAsia="en-AU"/>
        </w:rPr>
        <w:t xml:space="preserve"> gaps </w:t>
      </w:r>
      <w:r w:rsidR="00EC704A">
        <w:rPr>
          <w:lang w:eastAsia="en-AU"/>
        </w:rPr>
        <w:t>having a serious impact on</w:t>
      </w:r>
      <w:r w:rsidR="009C42C6">
        <w:rPr>
          <w:lang w:eastAsia="en-AU"/>
        </w:rPr>
        <w:t xml:space="preserve"> people </w:t>
      </w:r>
      <w:r w:rsidR="00EC704A">
        <w:rPr>
          <w:lang w:eastAsia="en-AU"/>
        </w:rPr>
        <w:t>experiencing</w:t>
      </w:r>
      <w:r w:rsidR="009C42C6">
        <w:rPr>
          <w:lang w:eastAsia="en-AU"/>
        </w:rPr>
        <w:t xml:space="preserve"> mental health issues.</w:t>
      </w:r>
      <w:r w:rsidR="00EC704A">
        <w:rPr>
          <w:rStyle w:val="FootnoteReference"/>
          <w:lang w:eastAsia="en-AU"/>
        </w:rPr>
        <w:footnoteReference w:id="59"/>
      </w:r>
      <w:r w:rsidR="007C551D">
        <w:rPr>
          <w:lang w:eastAsia="en-AU"/>
        </w:rPr>
        <w:t xml:space="preserve"> </w:t>
      </w:r>
      <w:r w:rsidR="009C42C6" w:rsidRPr="00247A02">
        <w:rPr>
          <w:lang w:eastAsia="en-AU"/>
        </w:rPr>
        <w:t>Many people have lost access to services they previously had</w:t>
      </w:r>
      <w:r w:rsidR="00EC704A">
        <w:rPr>
          <w:lang w:eastAsia="en-AU"/>
        </w:rPr>
        <w:t>,</w:t>
      </w:r>
      <w:r w:rsidR="009C42C6" w:rsidRPr="00247A02">
        <w:rPr>
          <w:lang w:eastAsia="en-AU"/>
        </w:rPr>
        <w:t xml:space="preserve"> and have been subjected to assessment processes that </w:t>
      </w:r>
      <w:r w:rsidR="00EC704A">
        <w:rPr>
          <w:lang w:eastAsia="en-AU"/>
        </w:rPr>
        <w:t>can be</w:t>
      </w:r>
      <w:r w:rsidR="009C42C6" w:rsidRPr="00247A02">
        <w:rPr>
          <w:lang w:eastAsia="en-AU"/>
        </w:rPr>
        <w:t xml:space="preserve"> stressful and damaging</w:t>
      </w:r>
      <w:r w:rsidR="00EC704A">
        <w:rPr>
          <w:lang w:eastAsia="en-AU"/>
        </w:rPr>
        <w:t xml:space="preserve"> to </w:t>
      </w:r>
      <w:r w:rsidR="007F18E6">
        <w:rPr>
          <w:lang w:eastAsia="en-AU"/>
        </w:rPr>
        <w:t xml:space="preserve">their </w:t>
      </w:r>
      <w:r w:rsidR="00EC704A">
        <w:rPr>
          <w:lang w:eastAsia="en-AU"/>
        </w:rPr>
        <w:t>mental health</w:t>
      </w:r>
      <w:r w:rsidR="009C42C6" w:rsidRPr="00247A02">
        <w:rPr>
          <w:lang w:eastAsia="en-AU"/>
        </w:rPr>
        <w:t xml:space="preserve">. </w:t>
      </w:r>
      <w:r w:rsidR="007C551D" w:rsidRPr="005C4CF5">
        <w:rPr>
          <w:lang w:eastAsia="en-AU"/>
        </w:rPr>
        <w:t xml:space="preserve">Through our </w:t>
      </w:r>
      <w:r w:rsidR="007C551D" w:rsidRPr="5C709DF0">
        <w:rPr>
          <w:lang w:eastAsia="en-AU"/>
        </w:rPr>
        <w:t>casework</w:t>
      </w:r>
      <w:r w:rsidR="007C551D" w:rsidRPr="005C4CF5">
        <w:rPr>
          <w:lang w:eastAsia="en-AU"/>
        </w:rPr>
        <w:t xml:space="preserve">, we </w:t>
      </w:r>
      <w:r w:rsidR="007C551D" w:rsidRPr="5C709DF0">
        <w:rPr>
          <w:lang w:eastAsia="en-AU"/>
        </w:rPr>
        <w:t>have seen</w:t>
      </w:r>
      <w:r w:rsidR="007C551D" w:rsidRPr="005C4CF5">
        <w:rPr>
          <w:lang w:eastAsia="en-AU"/>
        </w:rPr>
        <w:t xml:space="preserve"> </w:t>
      </w:r>
      <w:r w:rsidR="007C551D">
        <w:rPr>
          <w:lang w:eastAsia="en-AU"/>
        </w:rPr>
        <w:t>barriers to people experiencing mental health issues, market failure where people cannot access services they are funded to receive,</w:t>
      </w:r>
      <w:r w:rsidR="007C551D">
        <w:rPr>
          <w:rStyle w:val="FootnoteReference"/>
          <w:rFonts w:cs="Arial"/>
        </w:rPr>
        <w:footnoteReference w:id="60"/>
      </w:r>
      <w:r w:rsidR="007C551D">
        <w:rPr>
          <w:lang w:eastAsia="en-AU"/>
        </w:rPr>
        <w:t xml:space="preserve"> and inadequate NDIS plans. This is particularly acute where people face extended periods of detention because of a lack of housing or supports in the community.</w:t>
      </w:r>
      <w:r w:rsidR="007C551D">
        <w:rPr>
          <w:rStyle w:val="FootnoteReference"/>
          <w:rFonts w:cs="Arial"/>
        </w:rPr>
        <w:footnoteReference w:id="61"/>
      </w:r>
      <w:r w:rsidR="007C551D">
        <w:rPr>
          <w:lang w:eastAsia="en-AU"/>
        </w:rPr>
        <w:t xml:space="preserve"> </w:t>
      </w:r>
      <w:r w:rsidR="00EC704A">
        <w:rPr>
          <w:lang w:eastAsia="en-AU"/>
        </w:rPr>
        <w:t xml:space="preserve">This can also cause and lead to long-term social problems, including homelessness </w:t>
      </w:r>
      <w:r w:rsidR="00AA7C78">
        <w:rPr>
          <w:lang w:eastAsia="en-AU"/>
        </w:rPr>
        <w:t>and</w:t>
      </w:r>
      <w:r w:rsidR="00EC704A">
        <w:rPr>
          <w:lang w:eastAsia="en-AU"/>
        </w:rPr>
        <w:t xml:space="preserve"> family breakdown</w:t>
      </w:r>
      <w:r w:rsidR="009C42C6">
        <w:rPr>
          <w:lang w:eastAsia="en-AU"/>
        </w:rPr>
        <w:t>.</w:t>
      </w:r>
      <w:r w:rsidR="009C42C6">
        <w:rPr>
          <w:rStyle w:val="FootnoteReference"/>
          <w:rFonts w:cs="Arial"/>
          <w:lang w:eastAsia="en-AU"/>
        </w:rPr>
        <w:footnoteReference w:id="62"/>
      </w:r>
    </w:p>
    <w:p w14:paraId="3C6056A4" w14:textId="4F8B435E" w:rsidR="00A16BD3" w:rsidRPr="009B14F7" w:rsidRDefault="00A16BD3" w:rsidP="00A16BD3">
      <w:pPr>
        <w:rPr>
          <w:lang w:eastAsia="en-AU"/>
        </w:rPr>
      </w:pPr>
      <w:r w:rsidRPr="00A77C4D">
        <w:rPr>
          <w:lang w:eastAsia="en-AU"/>
        </w:rPr>
        <w:t>The siloing of mental h</w:t>
      </w:r>
      <w:r w:rsidRPr="00BF2C11">
        <w:rPr>
          <w:lang w:eastAsia="en-AU"/>
        </w:rPr>
        <w:t>ealth and disability support services means people who require both mental health and disability support may s</w:t>
      </w:r>
      <w:r w:rsidRPr="00FB655A">
        <w:rPr>
          <w:lang w:eastAsia="en-AU"/>
        </w:rPr>
        <w:t>truggle to obtain suitable services. Many service providers lack knowledge, training and skills to understand and address b</w:t>
      </w:r>
      <w:r w:rsidRPr="00A745DA">
        <w:rPr>
          <w:lang w:eastAsia="en-AU"/>
        </w:rPr>
        <w:t>oth men</w:t>
      </w:r>
      <w:r w:rsidRPr="00D45EBC">
        <w:rPr>
          <w:lang w:eastAsia="en-AU"/>
        </w:rPr>
        <w:t>tal health issue</w:t>
      </w:r>
      <w:r w:rsidRPr="00660BBB">
        <w:rPr>
          <w:lang w:eastAsia="en-AU"/>
        </w:rPr>
        <w:t xml:space="preserve">s and neurodiversity and/or disability. </w:t>
      </w:r>
    </w:p>
    <w:p w14:paraId="72D8C062" w14:textId="2CA459CC" w:rsidR="009C42C6" w:rsidRPr="000006B0" w:rsidRDefault="007572C5" w:rsidP="00BC45F0">
      <w:pPr>
        <w:rPr>
          <w:lang w:eastAsia="en-AU"/>
        </w:rPr>
      </w:pPr>
      <w:r>
        <w:rPr>
          <w:szCs w:val="22"/>
        </w:rPr>
        <w:lastRenderedPageBreak/>
        <w:t>The Victorian Government should coordinate with the Australian Government</w:t>
      </w:r>
      <w:r w:rsidRPr="00EC704A">
        <w:rPr>
          <w:szCs w:val="22"/>
        </w:rPr>
        <w:t xml:space="preserve"> to </w:t>
      </w:r>
      <w:r>
        <w:rPr>
          <w:szCs w:val="22"/>
        </w:rPr>
        <w:t>address</w:t>
      </w:r>
      <w:r w:rsidRPr="00EC704A">
        <w:rPr>
          <w:szCs w:val="22"/>
        </w:rPr>
        <w:t xml:space="preserve"> the gaps</w:t>
      </w:r>
      <w:r>
        <w:rPr>
          <w:szCs w:val="22"/>
        </w:rPr>
        <w:t xml:space="preserve"> </w:t>
      </w:r>
      <w:r w:rsidRPr="00EC704A">
        <w:rPr>
          <w:szCs w:val="22"/>
        </w:rPr>
        <w:t xml:space="preserve">between </w:t>
      </w:r>
      <w:r w:rsidR="00FA2DF2">
        <w:rPr>
          <w:szCs w:val="22"/>
        </w:rPr>
        <w:t>federal</w:t>
      </w:r>
      <w:r w:rsidRPr="00EC704A">
        <w:rPr>
          <w:szCs w:val="22"/>
        </w:rPr>
        <w:t xml:space="preserve"> and </w:t>
      </w:r>
      <w:r>
        <w:rPr>
          <w:szCs w:val="22"/>
        </w:rPr>
        <w:t xml:space="preserve">state-based </w:t>
      </w:r>
      <w:r w:rsidRPr="00EC704A">
        <w:rPr>
          <w:szCs w:val="22"/>
        </w:rPr>
        <w:t>mainstream services</w:t>
      </w:r>
      <w:r w:rsidR="00FA2DF2">
        <w:rPr>
          <w:szCs w:val="22"/>
        </w:rPr>
        <w:t>. For</w:t>
      </w:r>
      <w:r w:rsidR="00FA2DF2" w:rsidDel="00AC40FA">
        <w:rPr>
          <w:szCs w:val="22"/>
        </w:rPr>
        <w:t xml:space="preserve"> </w:t>
      </w:r>
      <w:r w:rsidR="00FA2DF2">
        <w:rPr>
          <w:szCs w:val="22"/>
        </w:rPr>
        <w:t>NDIS</w:t>
      </w:r>
      <w:r w:rsidR="00AC40FA">
        <w:rPr>
          <w:szCs w:val="22"/>
        </w:rPr>
        <w:t xml:space="preserve"> participants</w:t>
      </w:r>
      <w:r w:rsidR="00FA2DF2">
        <w:rPr>
          <w:szCs w:val="22"/>
        </w:rPr>
        <w:t xml:space="preserve">, this would include </w:t>
      </w:r>
      <w:r w:rsidRPr="00EC704A">
        <w:rPr>
          <w:szCs w:val="22"/>
        </w:rPr>
        <w:t>a service safety net in urgent</w:t>
      </w:r>
      <w:r>
        <w:rPr>
          <w:szCs w:val="22"/>
        </w:rPr>
        <w:t xml:space="preserve"> </w:t>
      </w:r>
      <w:r w:rsidRPr="00EC704A">
        <w:rPr>
          <w:szCs w:val="22"/>
        </w:rPr>
        <w:t xml:space="preserve">cases where </w:t>
      </w:r>
      <w:r>
        <w:rPr>
          <w:szCs w:val="22"/>
        </w:rPr>
        <w:t xml:space="preserve">NDIS </w:t>
      </w:r>
      <w:r w:rsidRPr="00EC704A">
        <w:rPr>
          <w:szCs w:val="22"/>
        </w:rPr>
        <w:t xml:space="preserve">market failure leads to people with </w:t>
      </w:r>
      <w:r>
        <w:rPr>
          <w:szCs w:val="22"/>
        </w:rPr>
        <w:t xml:space="preserve">mental health issues and </w:t>
      </w:r>
      <w:r w:rsidRPr="00EC704A">
        <w:rPr>
          <w:szCs w:val="22"/>
        </w:rPr>
        <w:t xml:space="preserve">complex needs </w:t>
      </w:r>
      <w:r>
        <w:rPr>
          <w:szCs w:val="22"/>
        </w:rPr>
        <w:t>being unable to access supports (e.g. housing or community-based services to support transition out of detention). The Victorian Government should commit to funding community-based mental health supports regardless of a person’s eligibility for the NDIS</w:t>
      </w:r>
      <w:r w:rsidR="00FA2DF2">
        <w:rPr>
          <w:szCs w:val="22"/>
        </w:rPr>
        <w:t xml:space="preserve"> or federal</w:t>
      </w:r>
      <w:r w:rsidR="008D30FF">
        <w:rPr>
          <w:szCs w:val="22"/>
        </w:rPr>
        <w:t>ly funded supports</w:t>
      </w:r>
      <w:r>
        <w:rPr>
          <w:szCs w:val="22"/>
        </w:rPr>
        <w:t>.</w:t>
      </w:r>
      <w:r w:rsidRPr="00B67639">
        <w:rPr>
          <w:rStyle w:val="FootnoteReference"/>
          <w:sz w:val="22"/>
          <w:szCs w:val="22"/>
        </w:rPr>
        <w:footnoteReference w:id="63"/>
      </w:r>
    </w:p>
    <w:p w14:paraId="200DCA5F" w14:textId="40A8F298" w:rsidR="00A81A40" w:rsidRPr="003C1CF3" w:rsidRDefault="003C1CF3" w:rsidP="00833F8F">
      <w:pPr>
        <w:shd w:val="clear" w:color="auto" w:fill="DEEAF6" w:themeFill="accent5" w:themeFillTint="33"/>
        <w:spacing w:before="240" w:line="240" w:lineRule="auto"/>
        <w:ind w:left="3119" w:hanging="2693"/>
      </w:pPr>
      <w:bookmarkStart w:id="572" w:name="_Toc41325350"/>
      <w:bookmarkStart w:id="573" w:name="_Toc41332799"/>
      <w:bookmarkStart w:id="574" w:name="_Toc41411940"/>
      <w:r w:rsidRPr="00B9060C">
        <w:rPr>
          <w:b/>
          <w:bCs/>
        </w:rPr>
        <w:t>Recommendation 1</w:t>
      </w:r>
      <w:r>
        <w:rPr>
          <w:b/>
          <w:bCs/>
        </w:rPr>
        <w:t xml:space="preserve">5: </w:t>
      </w:r>
      <w:r w:rsidR="00BF5882">
        <w:rPr>
          <w:b/>
          <w:bCs/>
        </w:rPr>
        <w:tab/>
      </w:r>
      <w:r w:rsidR="007560D0" w:rsidRPr="003C1CF3">
        <w:rPr>
          <w:b/>
          <w:bCs/>
        </w:rPr>
        <w:t>Ensure c</w:t>
      </w:r>
      <w:r w:rsidR="00A81A40" w:rsidRPr="003C1CF3">
        <w:rPr>
          <w:b/>
          <w:bCs/>
        </w:rPr>
        <w:t>ross-governmental coordination of mental health, health and NDIS supports</w:t>
      </w:r>
      <w:bookmarkEnd w:id="572"/>
      <w:bookmarkEnd w:id="573"/>
      <w:bookmarkEnd w:id="574"/>
    </w:p>
    <w:p w14:paraId="4C197308" w14:textId="46073BAA" w:rsidR="00A81A40" w:rsidRPr="003C1CF3" w:rsidRDefault="00A81A40" w:rsidP="00833F8F">
      <w:pPr>
        <w:shd w:val="clear" w:color="auto" w:fill="DEEAF6" w:themeFill="accent5" w:themeFillTint="33"/>
        <w:ind w:left="426"/>
      </w:pPr>
      <w:r w:rsidRPr="003C1CF3">
        <w:t xml:space="preserve">The Victorian Government should work with the Australian Government to coordinate access and availability of mental health </w:t>
      </w:r>
      <w:r w:rsidR="002A6B0A" w:rsidRPr="003C1CF3">
        <w:t xml:space="preserve">supports and </w:t>
      </w:r>
      <w:r w:rsidRPr="003C1CF3">
        <w:t>services to ensure consumers have a seamless experience of the mental health system, regardless of governmental responsibility for different types of services.</w:t>
      </w:r>
    </w:p>
    <w:p w14:paraId="13140CBC" w14:textId="49BEC74F" w:rsidR="005D35E1" w:rsidRDefault="005D35E1" w:rsidP="004415CE">
      <w:pPr>
        <w:pStyle w:val="Heading2"/>
      </w:pPr>
      <w:bookmarkStart w:id="575" w:name="_Toc41325269"/>
      <w:bookmarkStart w:id="576" w:name="_Toc41329852"/>
      <w:bookmarkStart w:id="577" w:name="_Toc41333759"/>
      <w:bookmarkStart w:id="578" w:name="_Toc41341060"/>
      <w:bookmarkStart w:id="579" w:name="_Toc41651957"/>
      <w:bookmarkEnd w:id="575"/>
      <w:bookmarkEnd w:id="576"/>
      <w:bookmarkEnd w:id="577"/>
      <w:bookmarkEnd w:id="578"/>
      <w:r>
        <w:t>Secure Extended Care Units</w:t>
      </w:r>
      <w:bookmarkEnd w:id="579"/>
    </w:p>
    <w:p w14:paraId="03394A76" w14:textId="4E50E19E" w:rsidR="005D35E1" w:rsidRDefault="00775C10" w:rsidP="005D35E1">
      <w:pPr>
        <w:rPr>
          <w:lang w:eastAsia="en-AU"/>
        </w:rPr>
      </w:pPr>
      <w:r>
        <w:rPr>
          <w:lang w:eastAsia="en-AU"/>
        </w:rPr>
        <w:t>SECUs</w:t>
      </w:r>
      <w:r w:rsidR="005D35E1" w:rsidRPr="006339BA">
        <w:rPr>
          <w:lang w:eastAsia="en-AU"/>
        </w:rPr>
        <w:t xml:space="preserve"> </w:t>
      </w:r>
      <w:r w:rsidR="005D35E1">
        <w:rPr>
          <w:lang w:eastAsia="en-AU"/>
        </w:rPr>
        <w:t xml:space="preserve">are intended to provide medium to long-term treatment and rehabilitation. Many of our clients </w:t>
      </w:r>
      <w:r w:rsidR="005D35E1" w:rsidRPr="006339BA">
        <w:rPr>
          <w:lang w:eastAsia="en-AU"/>
        </w:rPr>
        <w:t xml:space="preserve">receive </w:t>
      </w:r>
      <w:r w:rsidR="005D35E1">
        <w:rPr>
          <w:lang w:eastAsia="en-AU"/>
        </w:rPr>
        <w:t>compulsory treatment in SECUs</w:t>
      </w:r>
      <w:r w:rsidR="005D35E1" w:rsidRPr="006339BA">
        <w:rPr>
          <w:lang w:eastAsia="en-AU"/>
        </w:rPr>
        <w:t xml:space="preserve"> for lengthy periods of time</w:t>
      </w:r>
      <w:r w:rsidR="005D35E1">
        <w:rPr>
          <w:lang w:eastAsia="en-AU"/>
        </w:rPr>
        <w:t>, without transition or discharge planning</w:t>
      </w:r>
      <w:r w:rsidR="005D35E1" w:rsidRPr="006339BA">
        <w:rPr>
          <w:lang w:eastAsia="en-AU"/>
        </w:rPr>
        <w:t xml:space="preserve">. </w:t>
      </w:r>
      <w:r w:rsidR="005D35E1">
        <w:rPr>
          <w:lang w:eastAsia="en-AU"/>
        </w:rPr>
        <w:t>C</w:t>
      </w:r>
      <w:r w:rsidR="005D35E1" w:rsidRPr="006339BA">
        <w:rPr>
          <w:lang w:eastAsia="en-AU"/>
        </w:rPr>
        <w:t>onsumers admitted to SECUs face much longer periods of detention and more complicated discharge planning</w:t>
      </w:r>
      <w:r w:rsidR="005D35E1">
        <w:rPr>
          <w:lang w:eastAsia="en-AU"/>
        </w:rPr>
        <w:t xml:space="preserve"> than most people admitted to inpatient units. People who have been in SECUs for many years also face significant financial and socioeconomic disadvantage which presents barriers to transitioning into the community. </w:t>
      </w:r>
      <w:r w:rsidR="005D35E1" w:rsidRPr="006339BA">
        <w:rPr>
          <w:lang w:eastAsia="en-AU"/>
        </w:rPr>
        <w:t xml:space="preserve">SECUs are </w:t>
      </w:r>
      <w:r w:rsidR="005D35E1">
        <w:rPr>
          <w:lang w:eastAsia="en-AU"/>
        </w:rPr>
        <w:t xml:space="preserve">intended to be </w:t>
      </w:r>
      <w:r w:rsidR="005D35E1" w:rsidRPr="006339BA">
        <w:rPr>
          <w:lang w:eastAsia="en-AU"/>
        </w:rPr>
        <w:t>functionally distinct from acute inpatient wards</w:t>
      </w:r>
      <w:r w:rsidR="005D35E1">
        <w:rPr>
          <w:lang w:eastAsia="en-AU"/>
        </w:rPr>
        <w:t xml:space="preserve">, </w:t>
      </w:r>
      <w:r w:rsidR="6B3F8551" w:rsidRPr="461F843B">
        <w:rPr>
          <w:lang w:eastAsia="en-AU"/>
        </w:rPr>
        <w:t xml:space="preserve">and </w:t>
      </w:r>
      <w:r w:rsidR="005D35E1">
        <w:rPr>
          <w:lang w:eastAsia="en-AU"/>
        </w:rPr>
        <w:t xml:space="preserve">providing long-term psychosocial </w:t>
      </w:r>
      <w:r w:rsidR="005D35E1" w:rsidRPr="0FCFF48A">
        <w:rPr>
          <w:lang w:eastAsia="en-AU"/>
        </w:rPr>
        <w:t>rehabilitation</w:t>
      </w:r>
      <w:r w:rsidR="005D35E1" w:rsidRPr="006339BA">
        <w:rPr>
          <w:lang w:eastAsia="en-AU"/>
        </w:rPr>
        <w:t xml:space="preserve"> and </w:t>
      </w:r>
      <w:r w:rsidR="005D35E1">
        <w:rPr>
          <w:lang w:eastAsia="en-AU"/>
        </w:rPr>
        <w:t>additional</w:t>
      </w:r>
      <w:r w:rsidR="005D35E1" w:rsidRPr="006339BA">
        <w:rPr>
          <w:lang w:eastAsia="en-AU"/>
        </w:rPr>
        <w:t xml:space="preserve"> support </w:t>
      </w:r>
      <w:r w:rsidR="005D35E1">
        <w:rPr>
          <w:lang w:eastAsia="en-AU"/>
        </w:rPr>
        <w:t>is required</w:t>
      </w:r>
      <w:r w:rsidR="005D35E1" w:rsidRPr="006339BA">
        <w:rPr>
          <w:lang w:eastAsia="en-AU"/>
        </w:rPr>
        <w:t xml:space="preserve"> </w:t>
      </w:r>
      <w:r>
        <w:rPr>
          <w:lang w:eastAsia="en-AU"/>
        </w:rPr>
        <w:t xml:space="preserve">in order </w:t>
      </w:r>
      <w:r w:rsidR="005D35E1" w:rsidRPr="006339BA">
        <w:rPr>
          <w:lang w:eastAsia="en-AU"/>
        </w:rPr>
        <w:t>to meet consumers</w:t>
      </w:r>
      <w:r w:rsidR="005D35E1">
        <w:rPr>
          <w:lang w:eastAsia="en-AU"/>
        </w:rPr>
        <w:t>’</w:t>
      </w:r>
      <w:r w:rsidR="005D35E1" w:rsidRPr="006339BA">
        <w:rPr>
          <w:lang w:eastAsia="en-AU"/>
        </w:rPr>
        <w:t xml:space="preserve"> needs</w:t>
      </w:r>
      <w:r w:rsidR="005D35E1">
        <w:rPr>
          <w:lang w:eastAsia="en-AU"/>
        </w:rPr>
        <w:t xml:space="preserve"> </w:t>
      </w:r>
      <w:r w:rsidR="005D35E1" w:rsidRPr="006339BA">
        <w:rPr>
          <w:lang w:eastAsia="en-AU"/>
        </w:rPr>
        <w:t xml:space="preserve">within </w:t>
      </w:r>
      <w:r w:rsidR="005D35E1">
        <w:rPr>
          <w:lang w:eastAsia="en-AU"/>
        </w:rPr>
        <w:t>SECUs</w:t>
      </w:r>
      <w:r w:rsidR="005D35E1" w:rsidRPr="006339BA">
        <w:rPr>
          <w:lang w:eastAsia="en-AU"/>
        </w:rPr>
        <w:t xml:space="preserve"> and </w:t>
      </w:r>
      <w:r w:rsidR="005D35E1">
        <w:rPr>
          <w:lang w:eastAsia="en-AU"/>
        </w:rPr>
        <w:t>to support discharge and transitioning into the community.</w:t>
      </w:r>
    </w:p>
    <w:p w14:paraId="7B109899" w14:textId="3DAC89B5" w:rsidR="005D35E1" w:rsidRDefault="005D35E1" w:rsidP="00551CB0">
      <w:r>
        <w:rPr>
          <w:lang w:eastAsia="en-AU"/>
        </w:rPr>
        <w:t xml:space="preserve">VLA clients have reported unsatisfactory conditions, facilities and treatment in SECUs. </w:t>
      </w:r>
      <w:r w:rsidRPr="00EC704A">
        <w:rPr>
          <w:lang w:eastAsia="en-AU"/>
        </w:rPr>
        <w:t>SECUs should be subject to liveability standards that are appropriate for the usual length of residence</w:t>
      </w:r>
      <w:r>
        <w:rPr>
          <w:lang w:eastAsia="en-AU"/>
        </w:rPr>
        <w:t xml:space="preserve"> and align with </w:t>
      </w:r>
      <w:r w:rsidRPr="00EC704A">
        <w:rPr>
          <w:lang w:eastAsia="en-AU"/>
        </w:rPr>
        <w:t>community expectations.</w:t>
      </w:r>
      <w:r w:rsidR="0082785C">
        <w:rPr>
          <w:rStyle w:val="FootnoteReference"/>
          <w:lang w:eastAsia="en-AU"/>
        </w:rPr>
        <w:footnoteReference w:id="64"/>
      </w:r>
      <w:r w:rsidRPr="00EC704A">
        <w:rPr>
          <w:lang w:eastAsia="en-AU"/>
        </w:rPr>
        <w:t xml:space="preserve"> </w:t>
      </w:r>
    </w:p>
    <w:p w14:paraId="46BB27F5" w14:textId="634CB2C5" w:rsidR="005D35E1" w:rsidRDefault="005D35E1" w:rsidP="005D35E1">
      <w:pPr>
        <w:rPr>
          <w:lang w:eastAsia="en-AU"/>
        </w:rPr>
      </w:pPr>
      <w:r>
        <w:rPr>
          <w:lang w:eastAsia="en-AU"/>
        </w:rPr>
        <w:t xml:space="preserve">To facilitate effective discharge planning in </w:t>
      </w:r>
      <w:r w:rsidRPr="002A6B0A">
        <w:rPr>
          <w:lang w:eastAsia="en-AU"/>
        </w:rPr>
        <w:t xml:space="preserve">recommendation </w:t>
      </w:r>
      <w:r w:rsidR="00B92533" w:rsidRPr="002A6B0A">
        <w:rPr>
          <w:lang w:eastAsia="en-AU"/>
        </w:rPr>
        <w:t>17</w:t>
      </w:r>
      <w:r>
        <w:rPr>
          <w:lang w:eastAsia="en-AU"/>
        </w:rPr>
        <w:t xml:space="preserve"> below, the </w:t>
      </w:r>
      <w:r w:rsidR="007246A1">
        <w:rPr>
          <w:lang w:eastAsia="en-AU"/>
        </w:rPr>
        <w:t xml:space="preserve">appropriate regulator (e.g. independent regulator or </w:t>
      </w:r>
      <w:r>
        <w:rPr>
          <w:lang w:eastAsia="en-AU"/>
        </w:rPr>
        <w:t>Office of the Chief Psychiatrist</w:t>
      </w:r>
      <w:r w:rsidR="00176981">
        <w:rPr>
          <w:rStyle w:val="FootnoteReference"/>
          <w:lang w:eastAsia="en-AU"/>
        </w:rPr>
        <w:footnoteReference w:id="65"/>
      </w:r>
      <w:r w:rsidR="002A6B0A">
        <w:rPr>
          <w:lang w:eastAsia="en-AU"/>
        </w:rPr>
        <w:t xml:space="preserve"> </w:t>
      </w:r>
      <w:r w:rsidR="008D6313">
        <w:rPr>
          <w:lang w:eastAsia="en-AU"/>
        </w:rPr>
        <w:t xml:space="preserve">– </w:t>
      </w:r>
      <w:r w:rsidR="00661FF9">
        <w:rPr>
          <w:lang w:eastAsia="en-AU"/>
        </w:rPr>
        <w:t xml:space="preserve">see section </w:t>
      </w:r>
      <w:r w:rsidR="00CF419B">
        <w:rPr>
          <w:lang w:eastAsia="en-AU"/>
        </w:rPr>
        <w:t>5.3)</w:t>
      </w:r>
      <w:r>
        <w:rPr>
          <w:lang w:eastAsia="en-AU"/>
        </w:rPr>
        <w:t xml:space="preserve"> should set requirements that:</w:t>
      </w:r>
    </w:p>
    <w:p w14:paraId="14F8BDF2" w14:textId="0FEC4D9B" w:rsidR="005D35E1" w:rsidRDefault="00775C10" w:rsidP="00904F90">
      <w:pPr>
        <w:pStyle w:val="Listbulletcoloured"/>
      </w:pPr>
      <w:r>
        <w:t>a</w:t>
      </w:r>
      <w:r w:rsidR="005D35E1">
        <w:t>re co-</w:t>
      </w:r>
      <w:r w:rsidR="008565F5">
        <w:t>produc</w:t>
      </w:r>
      <w:r w:rsidR="005D35E1">
        <w:t>ed with consumers;</w:t>
      </w:r>
    </w:p>
    <w:p w14:paraId="68338DBE" w14:textId="7769F9AA" w:rsidR="00913106" w:rsidRDefault="00775C10" w:rsidP="00904F90">
      <w:pPr>
        <w:pStyle w:val="Listbulletcoloured"/>
      </w:pPr>
      <w:r>
        <w:t>a</w:t>
      </w:r>
      <w:r w:rsidR="00913106">
        <w:t xml:space="preserve">re consistent with a recovery </w:t>
      </w:r>
      <w:r w:rsidR="006B645C">
        <w:t>framework</w:t>
      </w:r>
      <w:r w:rsidR="00913106">
        <w:t>;</w:t>
      </w:r>
    </w:p>
    <w:p w14:paraId="259B9B85" w14:textId="379BDE1A" w:rsidR="005D35E1" w:rsidRDefault="00775C10" w:rsidP="00904F90">
      <w:pPr>
        <w:pStyle w:val="Listbulletcoloured"/>
      </w:pPr>
      <w:r>
        <w:t>c</w:t>
      </w:r>
      <w:r w:rsidR="005D35E1">
        <w:t>ommence on admission;</w:t>
      </w:r>
    </w:p>
    <w:p w14:paraId="5DAA1668" w14:textId="71A46249" w:rsidR="005D35E1" w:rsidRDefault="00775C10" w:rsidP="00904F90">
      <w:pPr>
        <w:pStyle w:val="Listbulletcoloured"/>
      </w:pPr>
      <w:r>
        <w:t>i</w:t>
      </w:r>
      <w:r w:rsidR="005D35E1">
        <w:t>nclude treatment goals, plans for reduction in supervision and a proposed plan for transition from the SECU;</w:t>
      </w:r>
    </w:p>
    <w:p w14:paraId="612A6C7F" w14:textId="4A5B785D" w:rsidR="005D35E1" w:rsidRDefault="00775C10" w:rsidP="00904F90">
      <w:pPr>
        <w:pStyle w:val="Listbulletcoloured"/>
      </w:pPr>
      <w:r>
        <w:t>p</w:t>
      </w:r>
      <w:r w:rsidR="005D35E1">
        <w:t>rioritise activities and discharge options that are meaningful for the consumer;</w:t>
      </w:r>
    </w:p>
    <w:p w14:paraId="33912060" w14:textId="32256CB7" w:rsidR="005D35E1" w:rsidRDefault="00775C10" w:rsidP="00904F90">
      <w:pPr>
        <w:pStyle w:val="Listbulletcoloured"/>
      </w:pPr>
      <w:r>
        <w:lastRenderedPageBreak/>
        <w:t>i</w:t>
      </w:r>
      <w:r w:rsidR="005D35E1">
        <w:t>dentify key stakeholders necessary for achieving the plan; and</w:t>
      </w:r>
    </w:p>
    <w:p w14:paraId="6193CD5A" w14:textId="60C875A8" w:rsidR="005D35E1" w:rsidRDefault="00775C10" w:rsidP="00904F90">
      <w:pPr>
        <w:pStyle w:val="Listbulletcoloured"/>
      </w:pPr>
      <w:r>
        <w:t>a</w:t>
      </w:r>
      <w:r w:rsidR="005D35E1">
        <w:t>re required to be produced before the Tribunal on all applications relating to a consumer’s stay in SECU.</w:t>
      </w:r>
    </w:p>
    <w:p w14:paraId="7E39E4A9" w14:textId="701BAE61" w:rsidR="005D35E1" w:rsidRPr="00833F8F" w:rsidRDefault="003C1CF3" w:rsidP="00833F8F">
      <w:pPr>
        <w:shd w:val="clear" w:color="auto" w:fill="DEEAF6" w:themeFill="accent5" w:themeFillTint="33"/>
        <w:ind w:left="3119" w:hanging="2693"/>
      </w:pPr>
      <w:bookmarkStart w:id="580" w:name="_Toc41325351"/>
      <w:bookmarkStart w:id="581" w:name="_Toc41332801"/>
      <w:bookmarkStart w:id="582" w:name="_Toc41411941"/>
      <w:r w:rsidRPr="003C1CF3">
        <w:rPr>
          <w:b/>
          <w:bCs/>
        </w:rPr>
        <w:t xml:space="preserve">Recommendation 16: </w:t>
      </w:r>
      <w:r w:rsidR="00BF5882">
        <w:rPr>
          <w:b/>
          <w:bCs/>
        </w:rPr>
        <w:tab/>
      </w:r>
      <w:r w:rsidR="007560D0" w:rsidRPr="003C1CF3">
        <w:rPr>
          <w:b/>
          <w:bCs/>
        </w:rPr>
        <w:t xml:space="preserve">Develop </w:t>
      </w:r>
      <w:r w:rsidR="005D35E1" w:rsidRPr="003C1CF3">
        <w:rPr>
          <w:b/>
          <w:bCs/>
        </w:rPr>
        <w:t xml:space="preserve">standards </w:t>
      </w:r>
      <w:r w:rsidR="007560D0" w:rsidRPr="003C1CF3">
        <w:rPr>
          <w:b/>
          <w:bCs/>
        </w:rPr>
        <w:t>for Secure Extended Care Units</w:t>
      </w:r>
      <w:bookmarkEnd w:id="580"/>
      <w:bookmarkEnd w:id="581"/>
      <w:bookmarkEnd w:id="582"/>
    </w:p>
    <w:p w14:paraId="0E0627FA" w14:textId="09CC6742" w:rsidR="005D35E1" w:rsidRPr="003C1CF3" w:rsidRDefault="005D35E1" w:rsidP="00833F8F">
      <w:pPr>
        <w:shd w:val="clear" w:color="auto" w:fill="DEEAF6" w:themeFill="accent5" w:themeFillTint="33"/>
        <w:ind w:left="426"/>
      </w:pPr>
      <w:r w:rsidRPr="003C1CF3">
        <w:t xml:space="preserve">The Department of Health and Human Services should define </w:t>
      </w:r>
      <w:r w:rsidR="007560D0" w:rsidRPr="003C1CF3">
        <w:t xml:space="preserve">Secure Extended Care Units </w:t>
      </w:r>
      <w:r w:rsidRPr="003C1CF3">
        <w:t>as a unique service within designated mental health services and develop standards which regulate inpatient</w:t>
      </w:r>
      <w:r w:rsidR="00574CFF" w:rsidRPr="003C1CF3">
        <w:t xml:space="preserve"> </w:t>
      </w:r>
      <w:r w:rsidRPr="003C1CF3">
        <w:t>care, liveability standards and discharge and transition planning.</w:t>
      </w:r>
    </w:p>
    <w:p w14:paraId="1D38499C" w14:textId="54C04B75" w:rsidR="005D35E1" w:rsidRPr="003C1CF3" w:rsidRDefault="003C1CF3" w:rsidP="00833F8F">
      <w:pPr>
        <w:shd w:val="clear" w:color="auto" w:fill="DEEAF6" w:themeFill="accent5" w:themeFillTint="33"/>
        <w:ind w:left="3119" w:hanging="2693"/>
      </w:pPr>
      <w:bookmarkStart w:id="583" w:name="_Toc41325352"/>
      <w:bookmarkStart w:id="584" w:name="_Toc41332802"/>
      <w:bookmarkStart w:id="585" w:name="_Toc41411942"/>
      <w:r w:rsidRPr="003C1CF3">
        <w:rPr>
          <w:b/>
          <w:bCs/>
        </w:rPr>
        <w:t xml:space="preserve">Recommendation 17: </w:t>
      </w:r>
      <w:r w:rsidR="00BF5882">
        <w:rPr>
          <w:b/>
          <w:bCs/>
        </w:rPr>
        <w:tab/>
      </w:r>
      <w:r w:rsidR="005D35E1" w:rsidRPr="003C1CF3">
        <w:rPr>
          <w:b/>
          <w:bCs/>
        </w:rPr>
        <w:t>Facilitat</w:t>
      </w:r>
      <w:r w:rsidR="007560D0" w:rsidRPr="003C1CF3">
        <w:rPr>
          <w:b/>
          <w:bCs/>
        </w:rPr>
        <w:t>e</w:t>
      </w:r>
      <w:r w:rsidR="005D35E1" w:rsidRPr="003C1CF3">
        <w:rPr>
          <w:b/>
          <w:bCs/>
        </w:rPr>
        <w:t xml:space="preserve"> </w:t>
      </w:r>
      <w:r w:rsidR="007560D0" w:rsidRPr="003C1CF3">
        <w:rPr>
          <w:b/>
          <w:bCs/>
        </w:rPr>
        <w:t xml:space="preserve">effective </w:t>
      </w:r>
      <w:r w:rsidR="005D35E1" w:rsidRPr="003C1CF3">
        <w:rPr>
          <w:b/>
          <w:bCs/>
        </w:rPr>
        <w:t xml:space="preserve">discharge from </w:t>
      </w:r>
      <w:r w:rsidR="007560D0" w:rsidRPr="003C1CF3">
        <w:rPr>
          <w:b/>
          <w:bCs/>
        </w:rPr>
        <w:t>Secure Extended Care Units into the community</w:t>
      </w:r>
      <w:bookmarkEnd w:id="583"/>
      <w:bookmarkEnd w:id="584"/>
      <w:bookmarkEnd w:id="585"/>
    </w:p>
    <w:p w14:paraId="136CAA76" w14:textId="1C885BF7" w:rsidR="005D35E1" w:rsidRPr="003C1CF3" w:rsidRDefault="005D35E1" w:rsidP="00833F8F">
      <w:pPr>
        <w:shd w:val="clear" w:color="auto" w:fill="DEEAF6" w:themeFill="accent5" w:themeFillTint="33"/>
        <w:ind w:left="426"/>
      </w:pPr>
      <w:r w:rsidRPr="003C1CF3">
        <w:t>The Victorian Government should fund broader options for accommodation</w:t>
      </w:r>
      <w:r w:rsidR="00AE6F52" w:rsidRPr="003C1CF3">
        <w:t xml:space="preserve"> in the community</w:t>
      </w:r>
      <w:r w:rsidRPr="003C1CF3">
        <w:t>, step-down programs and community-based treatment for consumers</w:t>
      </w:r>
      <w:r w:rsidR="007560D0" w:rsidRPr="003C1CF3">
        <w:t xml:space="preserve"> in Secure Extended Care Units</w:t>
      </w:r>
      <w:r w:rsidRPr="003C1CF3">
        <w:t>.</w:t>
      </w:r>
    </w:p>
    <w:p w14:paraId="6FD17FC3" w14:textId="3208F4FF" w:rsidR="005D35E1" w:rsidRPr="003C1CF3" w:rsidRDefault="005D35E1" w:rsidP="00833F8F">
      <w:pPr>
        <w:shd w:val="clear" w:color="auto" w:fill="DEEAF6" w:themeFill="accent5" w:themeFillTint="33"/>
        <w:ind w:left="426"/>
      </w:pPr>
      <w:r w:rsidRPr="003C1CF3">
        <w:t xml:space="preserve">The </w:t>
      </w:r>
      <w:r w:rsidR="0080716D" w:rsidRPr="003C1CF3">
        <w:t xml:space="preserve">appropriate regulator (e.g. independent regulator or </w:t>
      </w:r>
      <w:r w:rsidRPr="003C1CF3">
        <w:t>Office of the Chief Psychiatrist</w:t>
      </w:r>
      <w:r w:rsidR="0080716D" w:rsidRPr="003C1CF3">
        <w:t>)</w:t>
      </w:r>
      <w:r w:rsidRPr="003C1CF3">
        <w:t xml:space="preserve"> should establish and monitor implementation of effective discharge planning requirements</w:t>
      </w:r>
      <w:r w:rsidR="00A44DB9" w:rsidRPr="003C1CF3">
        <w:t xml:space="preserve">, including consistent outcome measures and public reporting of </w:t>
      </w:r>
      <w:r w:rsidR="008520C7" w:rsidRPr="003C1CF3">
        <w:t>compliance</w:t>
      </w:r>
      <w:r w:rsidRPr="003C1CF3">
        <w:t xml:space="preserve">. </w:t>
      </w:r>
    </w:p>
    <w:p w14:paraId="4477BD1A" w14:textId="0D326B43" w:rsidR="00EC704A" w:rsidRPr="00B108FC" w:rsidRDefault="00EC704A">
      <w:pPr>
        <w:pStyle w:val="Heading2"/>
      </w:pPr>
      <w:bookmarkStart w:id="586" w:name="_Toc40256458"/>
      <w:bookmarkStart w:id="587" w:name="_Toc41651958"/>
      <w:bookmarkEnd w:id="586"/>
      <w:r>
        <w:t>Safe and stable housing</w:t>
      </w:r>
      <w:bookmarkEnd w:id="587"/>
    </w:p>
    <w:p w14:paraId="4C9EC060" w14:textId="16D82541" w:rsidR="00EC704A" w:rsidRDefault="00EC704A" w:rsidP="00EC704A">
      <w:r>
        <w:rPr>
          <w:lang w:eastAsia="en-AU"/>
        </w:rPr>
        <w:t>Through our work we see the interconnected relationship between homelessness, poverty, mental health and legal problems</w:t>
      </w:r>
      <w:r w:rsidR="00681481">
        <w:rPr>
          <w:lang w:eastAsia="en-AU"/>
        </w:rPr>
        <w:t xml:space="preserve">. </w:t>
      </w:r>
      <w:r w:rsidRPr="00F207E3">
        <w:t xml:space="preserve">The links between housing, mental health and imprisonment were recognised by the Productivity Commission in its Inquiry into Mental Health. </w:t>
      </w:r>
      <w:r>
        <w:t xml:space="preserve">The Productivity Commission has recommended </w:t>
      </w:r>
      <w:r w:rsidRPr="00F207E3">
        <w:t>policies to prevent exits from prisons and inpatient units into homelessness and to encourage development of Specialist Disability Accommodation.</w:t>
      </w:r>
      <w:r w:rsidRPr="00F207E3">
        <w:rPr>
          <w:rStyle w:val="FootnoteReference"/>
          <w:rFonts w:eastAsia="Arial"/>
        </w:rPr>
        <w:footnoteReference w:id="66"/>
      </w:r>
      <w:r w:rsidRPr="00F207E3">
        <w:t xml:space="preserve"> </w:t>
      </w:r>
    </w:p>
    <w:p w14:paraId="1B56F34B" w14:textId="647B4514" w:rsidR="00EC704A" w:rsidRDefault="00EC704A" w:rsidP="00EC704A">
      <w:pPr>
        <w:rPr>
          <w:lang w:eastAsia="en-AU"/>
        </w:rPr>
      </w:pPr>
      <w:r w:rsidRPr="00A8527E">
        <w:rPr>
          <w:rFonts w:cs="Arial"/>
        </w:rPr>
        <w:t xml:space="preserve">There are limited crisis accommodation options available and </w:t>
      </w:r>
      <w:r w:rsidR="00EF4D05">
        <w:rPr>
          <w:rFonts w:cs="Arial"/>
        </w:rPr>
        <w:t xml:space="preserve">very few </w:t>
      </w:r>
      <w:r w:rsidRPr="00A8527E">
        <w:rPr>
          <w:rFonts w:cs="Arial"/>
        </w:rPr>
        <w:t>long-term stable housing options available</w:t>
      </w:r>
      <w:r>
        <w:rPr>
          <w:rFonts w:cs="Arial"/>
        </w:rPr>
        <w:t xml:space="preserve"> for our clients.</w:t>
      </w:r>
      <w:r>
        <w:rPr>
          <w:rFonts w:cs="Arial"/>
          <w:szCs w:val="22"/>
        </w:rPr>
        <w:t xml:space="preserve"> I</w:t>
      </w:r>
      <w:r>
        <w:rPr>
          <w:lang w:eastAsia="en-AU"/>
        </w:rPr>
        <w:t>nadequate access to safe, suitable housing can destabilise people’s mental health and present an obstacle to discharge from inpatient units or release from prison.</w:t>
      </w:r>
      <w:r>
        <w:rPr>
          <w:rStyle w:val="FootnoteReference"/>
          <w:lang w:eastAsia="en-AU"/>
        </w:rPr>
        <w:footnoteReference w:id="67"/>
      </w:r>
      <w:r>
        <w:rPr>
          <w:lang w:eastAsia="en-AU"/>
        </w:rPr>
        <w:t xml:space="preserve"> </w:t>
      </w:r>
    </w:p>
    <w:p w14:paraId="020839B8" w14:textId="77777777" w:rsidR="00B835B4" w:rsidRDefault="00681481" w:rsidP="00681481">
      <w:pPr>
        <w:ind w:left="-5"/>
      </w:pPr>
      <w:r>
        <w:rPr>
          <w:rFonts w:cs="Arial"/>
        </w:rPr>
        <w:t>T</w:t>
      </w:r>
      <w:r w:rsidRPr="00A8527E">
        <w:rPr>
          <w:rFonts w:cs="Arial"/>
        </w:rPr>
        <w:t xml:space="preserve">here is no guarantee of secure housing for people leaving prison. </w:t>
      </w:r>
      <w:r>
        <w:rPr>
          <w:rFonts w:cs="Arial"/>
        </w:rPr>
        <w:t>O</w:t>
      </w:r>
      <w:r w:rsidRPr="00A8527E">
        <w:rPr>
          <w:rFonts w:eastAsia="Arial" w:cs="Arial"/>
        </w:rPr>
        <w:t xml:space="preserve">ffenders released on parole are required to have their housing plans approved by the Adult Parole Board, and therefore lack of housing options limits parole eligibility. </w:t>
      </w:r>
      <w:r w:rsidRPr="00A8527E">
        <w:rPr>
          <w:rFonts w:cs="Arial"/>
        </w:rPr>
        <w:t>A recent research report by the Australian Institute of Criminology</w:t>
      </w:r>
      <w:r>
        <w:rPr>
          <w:rFonts w:cs="Arial"/>
        </w:rPr>
        <w:t xml:space="preserve"> </w:t>
      </w:r>
      <w:r w:rsidRPr="00A8527E">
        <w:rPr>
          <w:rFonts w:cs="Arial"/>
        </w:rPr>
        <w:t>noted the high link between homelessness and contact with the criminal justice system, citing one study which found that nearly a quarter of detainees were homeless or experienced housing stress in the month before arrest.</w:t>
      </w:r>
      <w:r>
        <w:rPr>
          <w:rStyle w:val="FootnoteReference"/>
          <w:rFonts w:cs="Arial"/>
        </w:rPr>
        <w:footnoteReference w:id="68"/>
      </w:r>
      <w:r w:rsidR="00B835B4">
        <w:rPr>
          <w:rFonts w:cs="Arial"/>
        </w:rPr>
        <w:t xml:space="preserve"> </w:t>
      </w:r>
      <w:r w:rsidR="00B835B4">
        <w:rPr>
          <w:lang w:eastAsia="en-AU"/>
        </w:rPr>
        <w:t>S</w:t>
      </w:r>
      <w:r w:rsidR="00B835B4" w:rsidRPr="005B144C">
        <w:rPr>
          <w:lang w:eastAsia="en-AU"/>
        </w:rPr>
        <w:t>tate-wide housing</w:t>
      </w:r>
      <w:r w:rsidR="00B835B4">
        <w:rPr>
          <w:lang w:eastAsia="en-AU"/>
        </w:rPr>
        <w:t xml:space="preserve"> (e.g. </w:t>
      </w:r>
      <w:r w:rsidR="00B835B4" w:rsidRPr="005B144C">
        <w:rPr>
          <w:lang w:eastAsia="en-AU"/>
        </w:rPr>
        <w:t xml:space="preserve">extension of </w:t>
      </w:r>
      <w:r w:rsidR="00B835B4">
        <w:rPr>
          <w:lang w:eastAsia="en-AU"/>
        </w:rPr>
        <w:t xml:space="preserve">integrated housing and rehabilitation </w:t>
      </w:r>
      <w:r w:rsidR="00B835B4" w:rsidRPr="005B144C">
        <w:rPr>
          <w:lang w:eastAsia="en-AU"/>
        </w:rPr>
        <w:t>initiatives such as the Atrium Housing and Support Program</w:t>
      </w:r>
      <w:r w:rsidR="00B835B4">
        <w:rPr>
          <w:lang w:eastAsia="en-AU"/>
        </w:rPr>
        <w:t>)</w:t>
      </w:r>
      <w:r w:rsidR="00B835B4" w:rsidRPr="005B144C">
        <w:rPr>
          <w:rStyle w:val="FootnoteReference"/>
          <w:rFonts w:cs="Arial"/>
          <w:lang w:eastAsia="en-AU"/>
        </w:rPr>
        <w:footnoteReference w:id="69"/>
      </w:r>
      <w:r w:rsidR="00B835B4" w:rsidRPr="005B144C">
        <w:rPr>
          <w:lang w:eastAsia="en-AU"/>
        </w:rPr>
        <w:t xml:space="preserve"> and dedicated post-release planning and housing options</w:t>
      </w:r>
      <w:r w:rsidR="00B835B4">
        <w:rPr>
          <w:lang w:eastAsia="en-AU"/>
        </w:rPr>
        <w:t xml:space="preserve">, </w:t>
      </w:r>
      <w:r w:rsidR="00B835B4">
        <w:t>would significantly improve stable transitions into the community and reduce relapses and recidivism.</w:t>
      </w:r>
    </w:p>
    <w:p w14:paraId="4DF5C450" w14:textId="7CB68B3A" w:rsidR="00681481" w:rsidRDefault="00552EE5" w:rsidP="00681481">
      <w:pPr>
        <w:ind w:left="-5"/>
      </w:pPr>
      <w:r>
        <w:rPr>
          <w:lang w:eastAsia="en-AU"/>
        </w:rPr>
        <w:lastRenderedPageBreak/>
        <w:t xml:space="preserve">Access to safe, affordable housing for people experiencing family violence to leave violent relationships is also essential to support a person’s mental health (see </w:t>
      </w:r>
      <w:r w:rsidRPr="007B68C3">
        <w:rPr>
          <w:lang w:eastAsia="en-AU"/>
        </w:rPr>
        <w:t xml:space="preserve">section </w:t>
      </w:r>
      <w:r w:rsidR="009B70AE" w:rsidRPr="007B68C3">
        <w:rPr>
          <w:lang w:eastAsia="en-AU"/>
        </w:rPr>
        <w:t>3.1</w:t>
      </w:r>
      <w:r>
        <w:rPr>
          <w:lang w:eastAsia="en-AU"/>
        </w:rPr>
        <w:t xml:space="preserve"> on family violence more broadly).</w:t>
      </w:r>
      <w:r>
        <w:rPr>
          <w:rStyle w:val="FootnoteReference"/>
          <w:lang w:eastAsia="en-AU"/>
        </w:rPr>
        <w:footnoteReference w:id="70"/>
      </w:r>
      <w:r w:rsidR="00AE6F52">
        <w:rPr>
          <w:lang w:eastAsia="en-AU"/>
        </w:rPr>
        <w:t xml:space="preserve"> </w:t>
      </w:r>
      <w:r w:rsidR="00681481">
        <w:t>VLA’s submission to the Victorian Homelessness Inquiry makes a series of recommendations aimed at reducing homelessness, which are relevant for the Royal Commission given the strong link between housing instability and poor mental health outcomes.</w:t>
      </w:r>
      <w:r w:rsidR="00151CD7">
        <w:rPr>
          <w:rStyle w:val="FootnoteReference"/>
        </w:rPr>
        <w:footnoteReference w:id="71"/>
      </w:r>
      <w:r w:rsidR="00681481">
        <w:t xml:space="preserve"> For example, we recommend:</w:t>
      </w:r>
    </w:p>
    <w:p w14:paraId="4A046AAB" w14:textId="7794591B" w:rsidR="00681481" w:rsidRDefault="00775C10" w:rsidP="00904F90">
      <w:pPr>
        <w:pStyle w:val="Listbulletcoloured"/>
      </w:pPr>
      <w:r>
        <w:t>i</w:t>
      </w:r>
      <w:r w:rsidR="00681481">
        <w:t>ncreasing the supply of safe, stable and affordable housing (including for people experiencing family violence, or in custody or inpatient units);</w:t>
      </w:r>
    </w:p>
    <w:p w14:paraId="2DBFC84D" w14:textId="112B583F" w:rsidR="00681481" w:rsidRDefault="00775C10" w:rsidP="00904F90">
      <w:pPr>
        <w:pStyle w:val="Listbulletcoloured"/>
      </w:pPr>
      <w:r>
        <w:t>a</w:t>
      </w:r>
      <w:r w:rsidR="00681481">
        <w:t xml:space="preserve"> legal and services system that prevents evictions into homelessness;</w:t>
      </w:r>
    </w:p>
    <w:p w14:paraId="15FBD29A" w14:textId="46E5310B" w:rsidR="00681481" w:rsidRDefault="00775C10" w:rsidP="00904F90">
      <w:pPr>
        <w:pStyle w:val="Listbulletcoloured"/>
      </w:pPr>
      <w:r>
        <w:t>b</w:t>
      </w:r>
      <w:r w:rsidR="00681481">
        <w:t>etter ways of preventing and responding to homelessness in the child protection system;</w:t>
      </w:r>
    </w:p>
    <w:p w14:paraId="352ACEBA" w14:textId="619749C3" w:rsidR="00681481" w:rsidRDefault="00775C10" w:rsidP="00904F90">
      <w:pPr>
        <w:pStyle w:val="Listbulletcoloured"/>
      </w:pPr>
      <w:r>
        <w:t>s</w:t>
      </w:r>
      <w:r w:rsidR="00681481">
        <w:t>trengthening our social safety net; and</w:t>
      </w:r>
    </w:p>
    <w:p w14:paraId="36CC4F86" w14:textId="03F5A4B8" w:rsidR="00681481" w:rsidRPr="004F7C7B" w:rsidRDefault="00775C10" w:rsidP="00904F90">
      <w:pPr>
        <w:pStyle w:val="Listbulletcoloured"/>
      </w:pPr>
      <w:r>
        <w:t>t</w:t>
      </w:r>
      <w:r w:rsidR="00681481" w:rsidRPr="00681481">
        <w:t>ackling discrimination as a cause of homelessness</w:t>
      </w:r>
      <w:r>
        <w:t>.</w:t>
      </w:r>
    </w:p>
    <w:p w14:paraId="321CC9D2" w14:textId="771E160B" w:rsidR="00EC704A" w:rsidRPr="001028B6" w:rsidRDefault="003C1CF3" w:rsidP="00833F8F">
      <w:pPr>
        <w:shd w:val="clear" w:color="auto" w:fill="DEEAF6" w:themeFill="accent5" w:themeFillTint="33"/>
        <w:spacing w:line="240" w:lineRule="auto"/>
        <w:ind w:left="3119" w:hanging="2693"/>
      </w:pPr>
      <w:bookmarkStart w:id="588" w:name="_Toc40355757"/>
      <w:bookmarkStart w:id="589" w:name="_Ref40779849"/>
      <w:bookmarkStart w:id="590" w:name="_Ref40779871"/>
      <w:bookmarkStart w:id="591" w:name="_Toc41325353"/>
      <w:bookmarkStart w:id="592" w:name="_Toc41332803"/>
      <w:bookmarkStart w:id="593" w:name="_Toc41411943"/>
      <w:r w:rsidRPr="00B9060C">
        <w:rPr>
          <w:b/>
          <w:bCs/>
        </w:rPr>
        <w:t>Recommendation 1</w:t>
      </w:r>
      <w:r>
        <w:rPr>
          <w:b/>
          <w:bCs/>
        </w:rPr>
        <w:t xml:space="preserve">8: </w:t>
      </w:r>
      <w:r w:rsidR="00BF5882">
        <w:rPr>
          <w:b/>
          <w:bCs/>
        </w:rPr>
        <w:tab/>
      </w:r>
      <w:r w:rsidR="00456F1C" w:rsidRPr="003C1CF3">
        <w:rPr>
          <w:b/>
          <w:bCs/>
        </w:rPr>
        <w:t xml:space="preserve">Eliminate a key driver of </w:t>
      </w:r>
      <w:r w:rsidR="00B9709A" w:rsidRPr="003C1CF3">
        <w:rPr>
          <w:b/>
          <w:bCs/>
        </w:rPr>
        <w:t>poor mental health</w:t>
      </w:r>
      <w:r w:rsidR="00082863" w:rsidRPr="003C1CF3">
        <w:rPr>
          <w:b/>
          <w:bCs/>
        </w:rPr>
        <w:t xml:space="preserve"> by r</w:t>
      </w:r>
      <w:r w:rsidR="00681481" w:rsidRPr="003C1CF3">
        <w:rPr>
          <w:b/>
          <w:bCs/>
        </w:rPr>
        <w:t>educ</w:t>
      </w:r>
      <w:r w:rsidR="00082863" w:rsidRPr="003C1CF3">
        <w:rPr>
          <w:b/>
          <w:bCs/>
        </w:rPr>
        <w:t>ing</w:t>
      </w:r>
      <w:r w:rsidR="00681481" w:rsidRPr="003C1CF3">
        <w:rPr>
          <w:b/>
          <w:bCs/>
        </w:rPr>
        <w:t xml:space="preserve"> homelessness</w:t>
      </w:r>
      <w:bookmarkEnd w:id="588"/>
      <w:bookmarkEnd w:id="589"/>
      <w:bookmarkEnd w:id="590"/>
      <w:bookmarkEnd w:id="591"/>
      <w:bookmarkEnd w:id="592"/>
      <w:bookmarkEnd w:id="593"/>
    </w:p>
    <w:p w14:paraId="231B976F" w14:textId="4CBB5778" w:rsidR="00EC704A" w:rsidRPr="00833F8F" w:rsidRDefault="00EC704A" w:rsidP="00833F8F">
      <w:pPr>
        <w:shd w:val="clear" w:color="auto" w:fill="DEEAF6" w:themeFill="accent5" w:themeFillTint="33"/>
        <w:ind w:left="426"/>
      </w:pPr>
      <w:r w:rsidRPr="003C1CF3">
        <w:t xml:space="preserve">The Victorian Government should </w:t>
      </w:r>
      <w:r w:rsidR="005C6A0B" w:rsidRPr="003C1CF3">
        <w:t xml:space="preserve">resource the supply of safe, stable and affordable housing, including access to housing for people </w:t>
      </w:r>
      <w:r w:rsidR="00044EA6" w:rsidRPr="003C1CF3">
        <w:t>experiencing family violence</w:t>
      </w:r>
      <w:r w:rsidR="009E0515" w:rsidRPr="003C1CF3">
        <w:t>,</w:t>
      </w:r>
      <w:r w:rsidR="005C6A0B" w:rsidRPr="003C1CF3">
        <w:t xml:space="preserve"> leaving custody </w:t>
      </w:r>
      <w:r w:rsidR="1D5E0ECF" w:rsidRPr="003C1CF3">
        <w:t>or inpatient units</w:t>
      </w:r>
      <w:r w:rsidR="009E0515" w:rsidRPr="003C1CF3">
        <w:t>,</w:t>
      </w:r>
      <w:r w:rsidR="1D5E0ECF" w:rsidRPr="003C1CF3">
        <w:t xml:space="preserve"> </w:t>
      </w:r>
      <w:r w:rsidR="005C6A0B" w:rsidRPr="003C1CF3">
        <w:t xml:space="preserve">and </w:t>
      </w:r>
      <w:r w:rsidR="008D1409" w:rsidRPr="003C1CF3">
        <w:t xml:space="preserve">for </w:t>
      </w:r>
      <w:r w:rsidR="005C6A0B" w:rsidRPr="003C1CF3">
        <w:t>integrated rehabilitation housing programs and Specialist Disability Accommodation</w:t>
      </w:r>
      <w:r w:rsidR="00681481" w:rsidRPr="003C1CF3">
        <w:t>.</w:t>
      </w:r>
    </w:p>
    <w:p w14:paraId="37C99C5E" w14:textId="6CEE3BBA" w:rsidR="00FD2802" w:rsidRDefault="00962AE9" w:rsidP="00575627">
      <w:pPr>
        <w:pStyle w:val="Heading1"/>
      </w:pPr>
      <w:bookmarkStart w:id="594" w:name="_Toc40247064"/>
      <w:bookmarkStart w:id="595" w:name="_Toc40247935"/>
      <w:bookmarkStart w:id="596" w:name="_Toc40248462"/>
      <w:bookmarkStart w:id="597" w:name="_Toc40249582"/>
      <w:bookmarkStart w:id="598" w:name="_Toc40251350"/>
      <w:bookmarkStart w:id="599" w:name="_Toc40256460"/>
      <w:bookmarkStart w:id="600" w:name="_Toc40247065"/>
      <w:bookmarkStart w:id="601" w:name="_Toc40247936"/>
      <w:bookmarkStart w:id="602" w:name="_Toc40248463"/>
      <w:bookmarkStart w:id="603" w:name="_Toc40249583"/>
      <w:bookmarkStart w:id="604" w:name="_Toc40251351"/>
      <w:bookmarkStart w:id="605" w:name="_Toc40256461"/>
      <w:bookmarkStart w:id="606" w:name="_Toc40247066"/>
      <w:bookmarkStart w:id="607" w:name="_Toc40247937"/>
      <w:bookmarkStart w:id="608" w:name="_Toc40248464"/>
      <w:bookmarkStart w:id="609" w:name="_Toc40249584"/>
      <w:bookmarkStart w:id="610" w:name="_Toc40251352"/>
      <w:bookmarkStart w:id="611" w:name="_Toc40256462"/>
      <w:bookmarkStart w:id="612" w:name="_Toc40247067"/>
      <w:bookmarkStart w:id="613" w:name="_Toc40247938"/>
      <w:bookmarkStart w:id="614" w:name="_Toc40248465"/>
      <w:bookmarkStart w:id="615" w:name="_Toc40249585"/>
      <w:bookmarkStart w:id="616" w:name="_Toc40251353"/>
      <w:bookmarkStart w:id="617" w:name="_Toc40256463"/>
      <w:bookmarkStart w:id="618" w:name="_Toc40247068"/>
      <w:bookmarkStart w:id="619" w:name="_Toc40247939"/>
      <w:bookmarkStart w:id="620" w:name="_Toc40248466"/>
      <w:bookmarkStart w:id="621" w:name="_Toc40249586"/>
      <w:bookmarkStart w:id="622" w:name="_Toc40251354"/>
      <w:bookmarkStart w:id="623" w:name="_Toc40256464"/>
      <w:bookmarkStart w:id="624" w:name="_Toc40247069"/>
      <w:bookmarkStart w:id="625" w:name="_Toc40247940"/>
      <w:bookmarkStart w:id="626" w:name="_Toc40248467"/>
      <w:bookmarkStart w:id="627" w:name="_Toc40249587"/>
      <w:bookmarkStart w:id="628" w:name="_Toc40251355"/>
      <w:bookmarkStart w:id="629" w:name="_Toc40256465"/>
      <w:bookmarkStart w:id="630" w:name="_Toc40247070"/>
      <w:bookmarkStart w:id="631" w:name="_Toc40247941"/>
      <w:bookmarkStart w:id="632" w:name="_Toc40248468"/>
      <w:bookmarkStart w:id="633" w:name="_Toc40249588"/>
      <w:bookmarkStart w:id="634" w:name="_Toc40251356"/>
      <w:bookmarkStart w:id="635" w:name="_Toc40256466"/>
      <w:bookmarkStart w:id="636" w:name="_Toc40247071"/>
      <w:bookmarkStart w:id="637" w:name="_Toc40247942"/>
      <w:bookmarkStart w:id="638" w:name="_Toc40248469"/>
      <w:bookmarkStart w:id="639" w:name="_Toc40249589"/>
      <w:bookmarkStart w:id="640" w:name="_Toc40251357"/>
      <w:bookmarkStart w:id="641" w:name="_Toc40256467"/>
      <w:bookmarkStart w:id="642" w:name="_Toc40247072"/>
      <w:bookmarkStart w:id="643" w:name="_Toc40247943"/>
      <w:bookmarkStart w:id="644" w:name="_Toc40248470"/>
      <w:bookmarkStart w:id="645" w:name="_Toc40249590"/>
      <w:bookmarkStart w:id="646" w:name="_Toc40251358"/>
      <w:bookmarkStart w:id="647" w:name="_Toc40256468"/>
      <w:bookmarkStart w:id="648" w:name="_Toc40247073"/>
      <w:bookmarkStart w:id="649" w:name="_Toc40247944"/>
      <w:bookmarkStart w:id="650" w:name="_Toc40248471"/>
      <w:bookmarkStart w:id="651" w:name="_Toc40249591"/>
      <w:bookmarkStart w:id="652" w:name="_Toc40251359"/>
      <w:bookmarkStart w:id="653" w:name="_Toc40256469"/>
      <w:bookmarkStart w:id="654" w:name="_Toc40247074"/>
      <w:bookmarkStart w:id="655" w:name="_Toc40247945"/>
      <w:bookmarkStart w:id="656" w:name="_Toc40248472"/>
      <w:bookmarkStart w:id="657" w:name="_Toc40249592"/>
      <w:bookmarkStart w:id="658" w:name="_Toc40251360"/>
      <w:bookmarkStart w:id="659" w:name="_Toc40256470"/>
      <w:bookmarkStart w:id="660" w:name="_Toc40247075"/>
      <w:bookmarkStart w:id="661" w:name="_Toc40247946"/>
      <w:bookmarkStart w:id="662" w:name="_Toc40248473"/>
      <w:bookmarkStart w:id="663" w:name="_Toc40249593"/>
      <w:bookmarkStart w:id="664" w:name="_Toc40251361"/>
      <w:bookmarkStart w:id="665" w:name="_Toc40256471"/>
      <w:bookmarkStart w:id="666" w:name="_Toc40247076"/>
      <w:bookmarkStart w:id="667" w:name="_Toc40247947"/>
      <w:bookmarkStart w:id="668" w:name="_Toc40248474"/>
      <w:bookmarkStart w:id="669" w:name="_Toc40249594"/>
      <w:bookmarkStart w:id="670" w:name="_Toc40251362"/>
      <w:bookmarkStart w:id="671" w:name="_Toc40256472"/>
      <w:bookmarkStart w:id="672" w:name="_Toc40247077"/>
      <w:bookmarkStart w:id="673" w:name="_Toc40247948"/>
      <w:bookmarkStart w:id="674" w:name="_Toc40248475"/>
      <w:bookmarkStart w:id="675" w:name="_Toc40249595"/>
      <w:bookmarkStart w:id="676" w:name="_Toc40251363"/>
      <w:bookmarkStart w:id="677" w:name="_Toc40256473"/>
      <w:bookmarkStart w:id="678" w:name="_Toc40247078"/>
      <w:bookmarkStart w:id="679" w:name="_Toc40247949"/>
      <w:bookmarkStart w:id="680" w:name="_Toc40248476"/>
      <w:bookmarkStart w:id="681" w:name="_Toc40249596"/>
      <w:bookmarkStart w:id="682" w:name="_Toc40251364"/>
      <w:bookmarkStart w:id="683" w:name="_Toc40256474"/>
      <w:bookmarkStart w:id="684" w:name="_Toc40247079"/>
      <w:bookmarkStart w:id="685" w:name="_Toc40247950"/>
      <w:bookmarkStart w:id="686" w:name="_Toc40248477"/>
      <w:bookmarkStart w:id="687" w:name="_Toc40249597"/>
      <w:bookmarkStart w:id="688" w:name="_Toc40251365"/>
      <w:bookmarkStart w:id="689" w:name="_Toc40256475"/>
      <w:bookmarkStart w:id="690" w:name="_Toc40247080"/>
      <w:bookmarkStart w:id="691" w:name="_Toc40247951"/>
      <w:bookmarkStart w:id="692" w:name="_Toc40248478"/>
      <w:bookmarkStart w:id="693" w:name="_Toc40249598"/>
      <w:bookmarkStart w:id="694" w:name="_Toc40251366"/>
      <w:bookmarkStart w:id="695" w:name="_Toc40256476"/>
      <w:bookmarkStart w:id="696" w:name="_Toc40247081"/>
      <w:bookmarkStart w:id="697" w:name="_Toc40247952"/>
      <w:bookmarkStart w:id="698" w:name="_Toc40248479"/>
      <w:bookmarkStart w:id="699" w:name="_Toc40249599"/>
      <w:bookmarkStart w:id="700" w:name="_Toc40251367"/>
      <w:bookmarkStart w:id="701" w:name="_Toc40256477"/>
      <w:bookmarkStart w:id="702" w:name="_Toc40247082"/>
      <w:bookmarkStart w:id="703" w:name="_Toc40247953"/>
      <w:bookmarkStart w:id="704" w:name="_Toc40248480"/>
      <w:bookmarkStart w:id="705" w:name="_Toc40249600"/>
      <w:bookmarkStart w:id="706" w:name="_Toc40251368"/>
      <w:bookmarkStart w:id="707" w:name="_Toc40256478"/>
      <w:bookmarkStart w:id="708" w:name="_Toc40247083"/>
      <w:bookmarkStart w:id="709" w:name="_Toc40247954"/>
      <w:bookmarkStart w:id="710" w:name="_Toc40248481"/>
      <w:bookmarkStart w:id="711" w:name="_Toc40249601"/>
      <w:bookmarkStart w:id="712" w:name="_Toc40251369"/>
      <w:bookmarkStart w:id="713" w:name="_Toc40256479"/>
      <w:bookmarkStart w:id="714" w:name="_Toc40247084"/>
      <w:bookmarkStart w:id="715" w:name="_Toc40247955"/>
      <w:bookmarkStart w:id="716" w:name="_Toc40248482"/>
      <w:bookmarkStart w:id="717" w:name="_Toc40249602"/>
      <w:bookmarkStart w:id="718" w:name="_Toc40251370"/>
      <w:bookmarkStart w:id="719" w:name="_Toc40256480"/>
      <w:bookmarkStart w:id="720" w:name="_Toc40247085"/>
      <w:bookmarkStart w:id="721" w:name="_Toc40247956"/>
      <w:bookmarkStart w:id="722" w:name="_Toc40248483"/>
      <w:bookmarkStart w:id="723" w:name="_Toc40249603"/>
      <w:bookmarkStart w:id="724" w:name="_Toc40251371"/>
      <w:bookmarkStart w:id="725" w:name="_Toc40256481"/>
      <w:bookmarkStart w:id="726" w:name="_Toc40247086"/>
      <w:bookmarkStart w:id="727" w:name="_Toc40247957"/>
      <w:bookmarkStart w:id="728" w:name="_Toc40248484"/>
      <w:bookmarkStart w:id="729" w:name="_Toc40249604"/>
      <w:bookmarkStart w:id="730" w:name="_Toc40251372"/>
      <w:bookmarkStart w:id="731" w:name="_Toc40256482"/>
      <w:bookmarkStart w:id="732" w:name="_Toc40247087"/>
      <w:bookmarkStart w:id="733" w:name="_Toc40247958"/>
      <w:bookmarkStart w:id="734" w:name="_Toc40248485"/>
      <w:bookmarkStart w:id="735" w:name="_Toc40249605"/>
      <w:bookmarkStart w:id="736" w:name="_Toc40251373"/>
      <w:bookmarkStart w:id="737" w:name="_Toc40256483"/>
      <w:bookmarkStart w:id="738" w:name="_Toc40247088"/>
      <w:bookmarkStart w:id="739" w:name="_Toc40247959"/>
      <w:bookmarkStart w:id="740" w:name="_Toc40248486"/>
      <w:bookmarkStart w:id="741" w:name="_Toc40249606"/>
      <w:bookmarkStart w:id="742" w:name="_Toc40251374"/>
      <w:bookmarkStart w:id="743" w:name="_Toc40256484"/>
      <w:bookmarkStart w:id="744" w:name="_Toc40247089"/>
      <w:bookmarkStart w:id="745" w:name="_Toc40247960"/>
      <w:bookmarkStart w:id="746" w:name="_Toc40248487"/>
      <w:bookmarkStart w:id="747" w:name="_Toc40249607"/>
      <w:bookmarkStart w:id="748" w:name="_Toc40251375"/>
      <w:bookmarkStart w:id="749" w:name="_Toc40256485"/>
      <w:bookmarkStart w:id="750" w:name="_Toc40247090"/>
      <w:bookmarkStart w:id="751" w:name="_Toc40247961"/>
      <w:bookmarkStart w:id="752" w:name="_Toc40248488"/>
      <w:bookmarkStart w:id="753" w:name="_Toc40249608"/>
      <w:bookmarkStart w:id="754" w:name="_Toc40251376"/>
      <w:bookmarkStart w:id="755" w:name="_Toc40256486"/>
      <w:bookmarkStart w:id="756" w:name="_Toc40247091"/>
      <w:bookmarkStart w:id="757" w:name="_Toc40247962"/>
      <w:bookmarkStart w:id="758" w:name="_Toc40248489"/>
      <w:bookmarkStart w:id="759" w:name="_Toc40249609"/>
      <w:bookmarkStart w:id="760" w:name="_Toc40251377"/>
      <w:bookmarkStart w:id="761" w:name="_Toc40256487"/>
      <w:bookmarkStart w:id="762" w:name="_Toc40247092"/>
      <w:bookmarkStart w:id="763" w:name="_Toc40247963"/>
      <w:bookmarkStart w:id="764" w:name="_Toc40248490"/>
      <w:bookmarkStart w:id="765" w:name="_Toc40249610"/>
      <w:bookmarkStart w:id="766" w:name="_Toc40251378"/>
      <w:bookmarkStart w:id="767" w:name="_Toc40256488"/>
      <w:bookmarkStart w:id="768" w:name="_Toc40247093"/>
      <w:bookmarkStart w:id="769" w:name="_Toc40247964"/>
      <w:bookmarkStart w:id="770" w:name="_Toc40248491"/>
      <w:bookmarkStart w:id="771" w:name="_Toc40249611"/>
      <w:bookmarkStart w:id="772" w:name="_Toc40251379"/>
      <w:bookmarkStart w:id="773" w:name="_Toc40256489"/>
      <w:bookmarkStart w:id="774" w:name="_Toc40247094"/>
      <w:bookmarkStart w:id="775" w:name="_Toc40247965"/>
      <w:bookmarkStart w:id="776" w:name="_Toc40248492"/>
      <w:bookmarkStart w:id="777" w:name="_Toc40249612"/>
      <w:bookmarkStart w:id="778" w:name="_Toc40251380"/>
      <w:bookmarkStart w:id="779" w:name="_Toc40256490"/>
      <w:bookmarkStart w:id="780" w:name="_Toc40247095"/>
      <w:bookmarkStart w:id="781" w:name="_Toc40247966"/>
      <w:bookmarkStart w:id="782" w:name="_Toc40248493"/>
      <w:bookmarkStart w:id="783" w:name="_Toc40249613"/>
      <w:bookmarkStart w:id="784" w:name="_Toc40251381"/>
      <w:bookmarkStart w:id="785" w:name="_Toc40256491"/>
      <w:bookmarkStart w:id="786" w:name="_Toc40247096"/>
      <w:bookmarkStart w:id="787" w:name="_Toc40247967"/>
      <w:bookmarkStart w:id="788" w:name="_Toc40248494"/>
      <w:bookmarkStart w:id="789" w:name="_Toc40249614"/>
      <w:bookmarkStart w:id="790" w:name="_Toc40251382"/>
      <w:bookmarkStart w:id="791" w:name="_Toc40256492"/>
      <w:bookmarkStart w:id="792" w:name="_Toc40247097"/>
      <w:bookmarkStart w:id="793" w:name="_Toc40247968"/>
      <w:bookmarkStart w:id="794" w:name="_Toc40248495"/>
      <w:bookmarkStart w:id="795" w:name="_Toc40249615"/>
      <w:bookmarkStart w:id="796" w:name="_Toc40251383"/>
      <w:bookmarkStart w:id="797" w:name="_Toc40256493"/>
      <w:bookmarkStart w:id="798" w:name="_Toc40247098"/>
      <w:bookmarkStart w:id="799" w:name="_Toc40247969"/>
      <w:bookmarkStart w:id="800" w:name="_Toc40248496"/>
      <w:bookmarkStart w:id="801" w:name="_Toc40249616"/>
      <w:bookmarkStart w:id="802" w:name="_Toc40251384"/>
      <w:bookmarkStart w:id="803" w:name="_Toc40256494"/>
      <w:bookmarkStart w:id="804" w:name="_Toc40247099"/>
      <w:bookmarkStart w:id="805" w:name="_Toc40247970"/>
      <w:bookmarkStart w:id="806" w:name="_Toc40248497"/>
      <w:bookmarkStart w:id="807" w:name="_Toc40249617"/>
      <w:bookmarkStart w:id="808" w:name="_Toc40251385"/>
      <w:bookmarkStart w:id="809" w:name="_Toc40256495"/>
      <w:bookmarkStart w:id="810" w:name="_Toc40247100"/>
      <w:bookmarkStart w:id="811" w:name="_Toc40247971"/>
      <w:bookmarkStart w:id="812" w:name="_Toc40248498"/>
      <w:bookmarkStart w:id="813" w:name="_Toc40249618"/>
      <w:bookmarkStart w:id="814" w:name="_Toc40251386"/>
      <w:bookmarkStart w:id="815" w:name="_Toc40256496"/>
      <w:bookmarkStart w:id="816" w:name="_Toc40247101"/>
      <w:bookmarkStart w:id="817" w:name="_Toc40247972"/>
      <w:bookmarkStart w:id="818" w:name="_Toc40248499"/>
      <w:bookmarkStart w:id="819" w:name="_Toc40249619"/>
      <w:bookmarkStart w:id="820" w:name="_Toc40251387"/>
      <w:bookmarkStart w:id="821" w:name="_Toc40256497"/>
      <w:bookmarkStart w:id="822" w:name="_Toc40247102"/>
      <w:bookmarkStart w:id="823" w:name="_Toc40247973"/>
      <w:bookmarkStart w:id="824" w:name="_Toc40248500"/>
      <w:bookmarkStart w:id="825" w:name="_Toc40249620"/>
      <w:bookmarkStart w:id="826" w:name="_Toc40251388"/>
      <w:bookmarkStart w:id="827" w:name="_Toc40256498"/>
      <w:bookmarkStart w:id="828" w:name="_Toc40247103"/>
      <w:bookmarkStart w:id="829" w:name="_Toc40247974"/>
      <w:bookmarkStart w:id="830" w:name="_Toc40248501"/>
      <w:bookmarkStart w:id="831" w:name="_Toc40249621"/>
      <w:bookmarkStart w:id="832" w:name="_Toc40251389"/>
      <w:bookmarkStart w:id="833" w:name="_Toc40256499"/>
      <w:bookmarkStart w:id="834" w:name="_Toc40247104"/>
      <w:bookmarkStart w:id="835" w:name="_Toc40247975"/>
      <w:bookmarkStart w:id="836" w:name="_Toc40248502"/>
      <w:bookmarkStart w:id="837" w:name="_Toc40249622"/>
      <w:bookmarkStart w:id="838" w:name="_Toc40251390"/>
      <w:bookmarkStart w:id="839" w:name="_Toc40256500"/>
      <w:bookmarkStart w:id="840" w:name="_Toc40247105"/>
      <w:bookmarkStart w:id="841" w:name="_Toc40247976"/>
      <w:bookmarkStart w:id="842" w:name="_Toc40248503"/>
      <w:bookmarkStart w:id="843" w:name="_Toc40249623"/>
      <w:bookmarkStart w:id="844" w:name="_Toc40251391"/>
      <w:bookmarkStart w:id="845" w:name="_Toc40256501"/>
      <w:bookmarkStart w:id="846" w:name="_Toc40247106"/>
      <w:bookmarkStart w:id="847" w:name="_Toc40247977"/>
      <w:bookmarkStart w:id="848" w:name="_Toc40248504"/>
      <w:bookmarkStart w:id="849" w:name="_Toc40249624"/>
      <w:bookmarkStart w:id="850" w:name="_Toc40251392"/>
      <w:bookmarkStart w:id="851" w:name="_Toc40256502"/>
      <w:bookmarkStart w:id="852" w:name="_Toc40247107"/>
      <w:bookmarkStart w:id="853" w:name="_Toc40247978"/>
      <w:bookmarkStart w:id="854" w:name="_Toc40248505"/>
      <w:bookmarkStart w:id="855" w:name="_Toc40249625"/>
      <w:bookmarkStart w:id="856" w:name="_Toc40251393"/>
      <w:bookmarkStart w:id="857" w:name="_Toc40256503"/>
      <w:bookmarkStart w:id="858" w:name="_Toc40247108"/>
      <w:bookmarkStart w:id="859" w:name="_Toc40247979"/>
      <w:bookmarkStart w:id="860" w:name="_Toc40248506"/>
      <w:bookmarkStart w:id="861" w:name="_Toc40249626"/>
      <w:bookmarkStart w:id="862" w:name="_Toc40251394"/>
      <w:bookmarkStart w:id="863" w:name="_Toc40256504"/>
      <w:bookmarkStart w:id="864" w:name="_Toc40247109"/>
      <w:bookmarkStart w:id="865" w:name="_Toc40247980"/>
      <w:bookmarkStart w:id="866" w:name="_Toc40248507"/>
      <w:bookmarkStart w:id="867" w:name="_Toc40249627"/>
      <w:bookmarkStart w:id="868" w:name="_Toc40251395"/>
      <w:bookmarkStart w:id="869" w:name="_Toc40256505"/>
      <w:bookmarkStart w:id="870" w:name="_Toc40247110"/>
      <w:bookmarkStart w:id="871" w:name="_Toc40247981"/>
      <w:bookmarkStart w:id="872" w:name="_Toc40248508"/>
      <w:bookmarkStart w:id="873" w:name="_Toc40249628"/>
      <w:bookmarkStart w:id="874" w:name="_Toc40251396"/>
      <w:bookmarkStart w:id="875" w:name="_Toc40256506"/>
      <w:bookmarkStart w:id="876" w:name="_Toc40247111"/>
      <w:bookmarkStart w:id="877" w:name="_Toc40247982"/>
      <w:bookmarkStart w:id="878" w:name="_Toc40248509"/>
      <w:bookmarkStart w:id="879" w:name="_Toc40249629"/>
      <w:bookmarkStart w:id="880" w:name="_Toc40251397"/>
      <w:bookmarkStart w:id="881" w:name="_Toc40256507"/>
      <w:bookmarkStart w:id="882" w:name="_Toc40247112"/>
      <w:bookmarkStart w:id="883" w:name="_Toc40247983"/>
      <w:bookmarkStart w:id="884" w:name="_Toc40248510"/>
      <w:bookmarkStart w:id="885" w:name="_Toc40249630"/>
      <w:bookmarkStart w:id="886" w:name="_Toc40251398"/>
      <w:bookmarkStart w:id="887" w:name="_Toc40256508"/>
      <w:bookmarkStart w:id="888" w:name="_Toc40247113"/>
      <w:bookmarkStart w:id="889" w:name="_Toc40247984"/>
      <w:bookmarkStart w:id="890" w:name="_Toc40248511"/>
      <w:bookmarkStart w:id="891" w:name="_Toc40249631"/>
      <w:bookmarkStart w:id="892" w:name="_Toc40251399"/>
      <w:bookmarkStart w:id="893" w:name="_Toc40256509"/>
      <w:bookmarkStart w:id="894" w:name="_Toc40247114"/>
      <w:bookmarkStart w:id="895" w:name="_Toc40247985"/>
      <w:bookmarkStart w:id="896" w:name="_Toc40248512"/>
      <w:bookmarkStart w:id="897" w:name="_Toc40249632"/>
      <w:bookmarkStart w:id="898" w:name="_Toc40251400"/>
      <w:bookmarkStart w:id="899" w:name="_Toc40256510"/>
      <w:bookmarkStart w:id="900" w:name="_Toc40247115"/>
      <w:bookmarkStart w:id="901" w:name="_Toc40247986"/>
      <w:bookmarkStart w:id="902" w:name="_Toc40248513"/>
      <w:bookmarkStart w:id="903" w:name="_Toc40249633"/>
      <w:bookmarkStart w:id="904" w:name="_Toc40251401"/>
      <w:bookmarkStart w:id="905" w:name="_Toc40256511"/>
      <w:bookmarkStart w:id="906" w:name="_Toc40247116"/>
      <w:bookmarkStart w:id="907" w:name="_Toc40247987"/>
      <w:bookmarkStart w:id="908" w:name="_Toc40248514"/>
      <w:bookmarkStart w:id="909" w:name="_Toc40249634"/>
      <w:bookmarkStart w:id="910" w:name="_Toc40251402"/>
      <w:bookmarkStart w:id="911" w:name="_Toc40256512"/>
      <w:bookmarkStart w:id="912" w:name="_Toc40247117"/>
      <w:bookmarkStart w:id="913" w:name="_Toc40247988"/>
      <w:bookmarkStart w:id="914" w:name="_Toc40248515"/>
      <w:bookmarkStart w:id="915" w:name="_Toc40249635"/>
      <w:bookmarkStart w:id="916" w:name="_Toc40251403"/>
      <w:bookmarkStart w:id="917" w:name="_Toc40256513"/>
      <w:bookmarkStart w:id="918" w:name="_Toc40247118"/>
      <w:bookmarkStart w:id="919" w:name="_Toc40247989"/>
      <w:bookmarkStart w:id="920" w:name="_Toc40248516"/>
      <w:bookmarkStart w:id="921" w:name="_Toc40249636"/>
      <w:bookmarkStart w:id="922" w:name="_Toc40251404"/>
      <w:bookmarkStart w:id="923" w:name="_Toc40256514"/>
      <w:bookmarkStart w:id="924" w:name="_Toc40247119"/>
      <w:bookmarkStart w:id="925" w:name="_Toc40247990"/>
      <w:bookmarkStart w:id="926" w:name="_Toc40248517"/>
      <w:bookmarkStart w:id="927" w:name="_Toc40249637"/>
      <w:bookmarkStart w:id="928" w:name="_Toc40251405"/>
      <w:bookmarkStart w:id="929" w:name="_Toc40256515"/>
      <w:bookmarkStart w:id="930" w:name="_Toc40247120"/>
      <w:bookmarkStart w:id="931" w:name="_Toc40247991"/>
      <w:bookmarkStart w:id="932" w:name="_Toc40248518"/>
      <w:bookmarkStart w:id="933" w:name="_Toc40249638"/>
      <w:bookmarkStart w:id="934" w:name="_Toc40251406"/>
      <w:bookmarkStart w:id="935" w:name="_Toc40256516"/>
      <w:bookmarkStart w:id="936" w:name="_Toc40247121"/>
      <w:bookmarkStart w:id="937" w:name="_Toc40247992"/>
      <w:bookmarkStart w:id="938" w:name="_Toc40248519"/>
      <w:bookmarkStart w:id="939" w:name="_Toc40249639"/>
      <w:bookmarkStart w:id="940" w:name="_Toc40251407"/>
      <w:bookmarkStart w:id="941" w:name="_Toc40256517"/>
      <w:bookmarkStart w:id="942" w:name="_Toc40247122"/>
      <w:bookmarkStart w:id="943" w:name="_Toc40247993"/>
      <w:bookmarkStart w:id="944" w:name="_Toc40248520"/>
      <w:bookmarkStart w:id="945" w:name="_Toc40249640"/>
      <w:bookmarkStart w:id="946" w:name="_Toc40251408"/>
      <w:bookmarkStart w:id="947" w:name="_Toc40256518"/>
      <w:bookmarkStart w:id="948" w:name="_Toc40247123"/>
      <w:bookmarkStart w:id="949" w:name="_Toc40247994"/>
      <w:bookmarkStart w:id="950" w:name="_Toc40248521"/>
      <w:bookmarkStart w:id="951" w:name="_Toc40249641"/>
      <w:bookmarkStart w:id="952" w:name="_Toc40251409"/>
      <w:bookmarkStart w:id="953" w:name="_Toc40256519"/>
      <w:bookmarkStart w:id="954" w:name="_Toc40247124"/>
      <w:bookmarkStart w:id="955" w:name="_Toc40247995"/>
      <w:bookmarkStart w:id="956" w:name="_Toc40248522"/>
      <w:bookmarkStart w:id="957" w:name="_Toc40249642"/>
      <w:bookmarkStart w:id="958" w:name="_Toc40251410"/>
      <w:bookmarkStart w:id="959" w:name="_Toc40256520"/>
      <w:bookmarkStart w:id="960" w:name="_Toc40247125"/>
      <w:bookmarkStart w:id="961" w:name="_Toc40247996"/>
      <w:bookmarkStart w:id="962" w:name="_Toc40248523"/>
      <w:bookmarkStart w:id="963" w:name="_Toc40249643"/>
      <w:bookmarkStart w:id="964" w:name="_Toc40251411"/>
      <w:bookmarkStart w:id="965" w:name="_Toc40256521"/>
      <w:bookmarkStart w:id="966" w:name="_Toc40247126"/>
      <w:bookmarkStart w:id="967" w:name="_Toc40247997"/>
      <w:bookmarkStart w:id="968" w:name="_Toc40248524"/>
      <w:bookmarkStart w:id="969" w:name="_Toc40249644"/>
      <w:bookmarkStart w:id="970" w:name="_Toc40251412"/>
      <w:bookmarkStart w:id="971" w:name="_Toc40256522"/>
      <w:bookmarkStart w:id="972" w:name="_Toc40247127"/>
      <w:bookmarkStart w:id="973" w:name="_Toc40247998"/>
      <w:bookmarkStart w:id="974" w:name="_Toc40248525"/>
      <w:bookmarkStart w:id="975" w:name="_Toc40249645"/>
      <w:bookmarkStart w:id="976" w:name="_Toc40251413"/>
      <w:bookmarkStart w:id="977" w:name="_Toc40256523"/>
      <w:bookmarkStart w:id="978" w:name="_Toc40247128"/>
      <w:bookmarkStart w:id="979" w:name="_Toc40247999"/>
      <w:bookmarkStart w:id="980" w:name="_Toc40248526"/>
      <w:bookmarkStart w:id="981" w:name="_Toc40249646"/>
      <w:bookmarkStart w:id="982" w:name="_Toc40251414"/>
      <w:bookmarkStart w:id="983" w:name="_Toc40256524"/>
      <w:bookmarkStart w:id="984" w:name="_Toc40186380"/>
      <w:bookmarkStart w:id="985" w:name="_Toc40186775"/>
      <w:bookmarkStart w:id="986" w:name="_Toc40215286"/>
      <w:bookmarkStart w:id="987" w:name="_Toc40247129"/>
      <w:bookmarkStart w:id="988" w:name="_Toc40248000"/>
      <w:bookmarkStart w:id="989" w:name="_Toc40248527"/>
      <w:bookmarkStart w:id="990" w:name="_Toc40249647"/>
      <w:bookmarkStart w:id="991" w:name="_Toc40251415"/>
      <w:bookmarkStart w:id="992" w:name="_Toc40256525"/>
      <w:bookmarkStart w:id="993" w:name="_Toc40247130"/>
      <w:bookmarkStart w:id="994" w:name="_Toc40248001"/>
      <w:bookmarkStart w:id="995" w:name="_Toc40248528"/>
      <w:bookmarkStart w:id="996" w:name="_Toc40249648"/>
      <w:bookmarkStart w:id="997" w:name="_Toc40251416"/>
      <w:bookmarkStart w:id="998" w:name="_Toc40256526"/>
      <w:bookmarkStart w:id="999" w:name="_Toc40247131"/>
      <w:bookmarkStart w:id="1000" w:name="_Toc40248002"/>
      <w:bookmarkStart w:id="1001" w:name="_Toc40248529"/>
      <w:bookmarkStart w:id="1002" w:name="_Toc40249649"/>
      <w:bookmarkStart w:id="1003" w:name="_Toc40251417"/>
      <w:bookmarkStart w:id="1004" w:name="_Toc40256527"/>
      <w:bookmarkStart w:id="1005" w:name="_Toc40247132"/>
      <w:bookmarkStart w:id="1006" w:name="_Toc40248003"/>
      <w:bookmarkStart w:id="1007" w:name="_Toc40248530"/>
      <w:bookmarkStart w:id="1008" w:name="_Toc40249650"/>
      <w:bookmarkStart w:id="1009" w:name="_Toc40251418"/>
      <w:bookmarkStart w:id="1010" w:name="_Toc40256528"/>
      <w:bookmarkStart w:id="1011" w:name="_Toc40247133"/>
      <w:bookmarkStart w:id="1012" w:name="_Toc40248004"/>
      <w:bookmarkStart w:id="1013" w:name="_Toc40248531"/>
      <w:bookmarkStart w:id="1014" w:name="_Toc40249651"/>
      <w:bookmarkStart w:id="1015" w:name="_Toc40251419"/>
      <w:bookmarkStart w:id="1016" w:name="_Toc40256529"/>
      <w:bookmarkStart w:id="1017" w:name="_Toc40247134"/>
      <w:bookmarkStart w:id="1018" w:name="_Toc40248005"/>
      <w:bookmarkStart w:id="1019" w:name="_Toc40248532"/>
      <w:bookmarkStart w:id="1020" w:name="_Toc40249652"/>
      <w:bookmarkStart w:id="1021" w:name="_Toc40251420"/>
      <w:bookmarkStart w:id="1022" w:name="_Toc40256530"/>
      <w:bookmarkStart w:id="1023" w:name="_Toc40247135"/>
      <w:bookmarkStart w:id="1024" w:name="_Toc40248006"/>
      <w:bookmarkStart w:id="1025" w:name="_Toc40248533"/>
      <w:bookmarkStart w:id="1026" w:name="_Toc40249653"/>
      <w:bookmarkStart w:id="1027" w:name="_Toc40251421"/>
      <w:bookmarkStart w:id="1028" w:name="_Toc40256531"/>
      <w:bookmarkStart w:id="1029" w:name="_Toc40247136"/>
      <w:bookmarkStart w:id="1030" w:name="_Toc40248007"/>
      <w:bookmarkStart w:id="1031" w:name="_Toc40248534"/>
      <w:bookmarkStart w:id="1032" w:name="_Toc40249654"/>
      <w:bookmarkStart w:id="1033" w:name="_Toc40251422"/>
      <w:bookmarkStart w:id="1034" w:name="_Toc40256532"/>
      <w:bookmarkStart w:id="1035" w:name="_Toc40247137"/>
      <w:bookmarkStart w:id="1036" w:name="_Toc40248008"/>
      <w:bookmarkStart w:id="1037" w:name="_Toc40248535"/>
      <w:bookmarkStart w:id="1038" w:name="_Toc40249655"/>
      <w:bookmarkStart w:id="1039" w:name="_Toc40251423"/>
      <w:bookmarkStart w:id="1040" w:name="_Toc40256533"/>
      <w:bookmarkStart w:id="1041" w:name="_Toc40247138"/>
      <w:bookmarkStart w:id="1042" w:name="_Toc40248009"/>
      <w:bookmarkStart w:id="1043" w:name="_Toc40248536"/>
      <w:bookmarkStart w:id="1044" w:name="_Toc40249656"/>
      <w:bookmarkStart w:id="1045" w:name="_Toc40251424"/>
      <w:bookmarkStart w:id="1046" w:name="_Toc40256534"/>
      <w:bookmarkStart w:id="1047" w:name="_Toc40247139"/>
      <w:bookmarkStart w:id="1048" w:name="_Toc40248010"/>
      <w:bookmarkStart w:id="1049" w:name="_Toc40248537"/>
      <w:bookmarkStart w:id="1050" w:name="_Toc40249657"/>
      <w:bookmarkStart w:id="1051" w:name="_Toc40251425"/>
      <w:bookmarkStart w:id="1052" w:name="_Toc40256535"/>
      <w:bookmarkStart w:id="1053" w:name="_Toc40247140"/>
      <w:bookmarkStart w:id="1054" w:name="_Toc40248011"/>
      <w:bookmarkStart w:id="1055" w:name="_Toc40248538"/>
      <w:bookmarkStart w:id="1056" w:name="_Toc40249658"/>
      <w:bookmarkStart w:id="1057" w:name="_Toc40251426"/>
      <w:bookmarkStart w:id="1058" w:name="_Toc40256536"/>
      <w:bookmarkStart w:id="1059" w:name="_Toc40247141"/>
      <w:bookmarkStart w:id="1060" w:name="_Toc40248012"/>
      <w:bookmarkStart w:id="1061" w:name="_Toc40248539"/>
      <w:bookmarkStart w:id="1062" w:name="_Toc40249659"/>
      <w:bookmarkStart w:id="1063" w:name="_Toc40251427"/>
      <w:bookmarkStart w:id="1064" w:name="_Toc40256537"/>
      <w:bookmarkStart w:id="1065" w:name="_Toc40247142"/>
      <w:bookmarkStart w:id="1066" w:name="_Toc40248013"/>
      <w:bookmarkStart w:id="1067" w:name="_Toc40248540"/>
      <w:bookmarkStart w:id="1068" w:name="_Toc40249660"/>
      <w:bookmarkStart w:id="1069" w:name="_Toc40251428"/>
      <w:bookmarkStart w:id="1070" w:name="_Toc40256538"/>
      <w:bookmarkStart w:id="1071" w:name="_Toc40247143"/>
      <w:bookmarkStart w:id="1072" w:name="_Toc40248014"/>
      <w:bookmarkStart w:id="1073" w:name="_Toc40248541"/>
      <w:bookmarkStart w:id="1074" w:name="_Toc40249661"/>
      <w:bookmarkStart w:id="1075" w:name="_Toc40251429"/>
      <w:bookmarkStart w:id="1076" w:name="_Toc40256539"/>
      <w:bookmarkStart w:id="1077" w:name="_Toc40247144"/>
      <w:bookmarkStart w:id="1078" w:name="_Toc40248015"/>
      <w:bookmarkStart w:id="1079" w:name="_Toc40248542"/>
      <w:bookmarkStart w:id="1080" w:name="_Toc40249662"/>
      <w:bookmarkStart w:id="1081" w:name="_Toc40251430"/>
      <w:bookmarkStart w:id="1082" w:name="_Toc40256540"/>
      <w:bookmarkStart w:id="1083" w:name="_Toc40247145"/>
      <w:bookmarkStart w:id="1084" w:name="_Toc40248016"/>
      <w:bookmarkStart w:id="1085" w:name="_Toc40248543"/>
      <w:bookmarkStart w:id="1086" w:name="_Toc40249663"/>
      <w:bookmarkStart w:id="1087" w:name="_Toc40251431"/>
      <w:bookmarkStart w:id="1088" w:name="_Toc40256541"/>
      <w:bookmarkStart w:id="1089" w:name="_Toc40247146"/>
      <w:bookmarkStart w:id="1090" w:name="_Toc40248017"/>
      <w:bookmarkStart w:id="1091" w:name="_Toc40248544"/>
      <w:bookmarkStart w:id="1092" w:name="_Toc40249664"/>
      <w:bookmarkStart w:id="1093" w:name="_Toc40251432"/>
      <w:bookmarkStart w:id="1094" w:name="_Toc40256542"/>
      <w:bookmarkStart w:id="1095" w:name="_Toc40247147"/>
      <w:bookmarkStart w:id="1096" w:name="_Toc40248018"/>
      <w:bookmarkStart w:id="1097" w:name="_Toc40248545"/>
      <w:bookmarkStart w:id="1098" w:name="_Toc40249665"/>
      <w:bookmarkStart w:id="1099" w:name="_Toc40251433"/>
      <w:bookmarkStart w:id="1100" w:name="_Toc40256543"/>
      <w:bookmarkStart w:id="1101" w:name="_Toc40247148"/>
      <w:bookmarkStart w:id="1102" w:name="_Toc40248019"/>
      <w:bookmarkStart w:id="1103" w:name="_Toc40248546"/>
      <w:bookmarkStart w:id="1104" w:name="_Toc40249666"/>
      <w:bookmarkStart w:id="1105" w:name="_Toc40251434"/>
      <w:bookmarkStart w:id="1106" w:name="_Toc40256544"/>
      <w:bookmarkStart w:id="1107" w:name="_Toc40247149"/>
      <w:bookmarkStart w:id="1108" w:name="_Toc40248020"/>
      <w:bookmarkStart w:id="1109" w:name="_Toc40248547"/>
      <w:bookmarkStart w:id="1110" w:name="_Toc40249667"/>
      <w:bookmarkStart w:id="1111" w:name="_Toc40251435"/>
      <w:bookmarkStart w:id="1112" w:name="_Toc40256545"/>
      <w:bookmarkStart w:id="1113" w:name="_Toc40247150"/>
      <w:bookmarkStart w:id="1114" w:name="_Toc40248021"/>
      <w:bookmarkStart w:id="1115" w:name="_Toc40248548"/>
      <w:bookmarkStart w:id="1116" w:name="_Toc40249668"/>
      <w:bookmarkStart w:id="1117" w:name="_Toc40251436"/>
      <w:bookmarkStart w:id="1118" w:name="_Toc40256546"/>
      <w:bookmarkStart w:id="1119" w:name="_Toc40247151"/>
      <w:bookmarkStart w:id="1120" w:name="_Toc40248022"/>
      <w:bookmarkStart w:id="1121" w:name="_Toc40248549"/>
      <w:bookmarkStart w:id="1122" w:name="_Toc40249669"/>
      <w:bookmarkStart w:id="1123" w:name="_Toc40251437"/>
      <w:bookmarkStart w:id="1124" w:name="_Toc40256547"/>
      <w:bookmarkStart w:id="1125" w:name="_Toc40247152"/>
      <w:bookmarkStart w:id="1126" w:name="_Toc40248023"/>
      <w:bookmarkStart w:id="1127" w:name="_Toc40248550"/>
      <w:bookmarkStart w:id="1128" w:name="_Toc40249670"/>
      <w:bookmarkStart w:id="1129" w:name="_Toc40251438"/>
      <w:bookmarkStart w:id="1130" w:name="_Toc40256548"/>
      <w:bookmarkStart w:id="1131" w:name="_Toc40215288"/>
      <w:bookmarkStart w:id="1132" w:name="_Toc40247153"/>
      <w:bookmarkStart w:id="1133" w:name="_Toc40248024"/>
      <w:bookmarkStart w:id="1134" w:name="_Toc40248551"/>
      <w:bookmarkStart w:id="1135" w:name="_Toc40249671"/>
      <w:bookmarkStart w:id="1136" w:name="_Toc40251439"/>
      <w:bookmarkStart w:id="1137" w:name="_Toc40256549"/>
      <w:bookmarkStart w:id="1138" w:name="_Toc40186382"/>
      <w:bookmarkStart w:id="1139" w:name="_Toc40186777"/>
      <w:bookmarkStart w:id="1140" w:name="_Toc40215289"/>
      <w:bookmarkStart w:id="1141" w:name="_Toc40247154"/>
      <w:bookmarkStart w:id="1142" w:name="_Toc40248025"/>
      <w:bookmarkStart w:id="1143" w:name="_Toc40248552"/>
      <w:bookmarkStart w:id="1144" w:name="_Toc40249672"/>
      <w:bookmarkStart w:id="1145" w:name="_Toc40251440"/>
      <w:bookmarkStart w:id="1146" w:name="_Toc40256550"/>
      <w:bookmarkStart w:id="1147" w:name="_Toc40247155"/>
      <w:bookmarkStart w:id="1148" w:name="_Toc40248026"/>
      <w:bookmarkStart w:id="1149" w:name="_Toc40248553"/>
      <w:bookmarkStart w:id="1150" w:name="_Toc40249673"/>
      <w:bookmarkStart w:id="1151" w:name="_Toc40251441"/>
      <w:bookmarkStart w:id="1152" w:name="_Toc40256551"/>
      <w:bookmarkStart w:id="1153" w:name="_Toc40247156"/>
      <w:bookmarkStart w:id="1154" w:name="_Toc40248027"/>
      <w:bookmarkStart w:id="1155" w:name="_Toc40248554"/>
      <w:bookmarkStart w:id="1156" w:name="_Toc40249674"/>
      <w:bookmarkStart w:id="1157" w:name="_Toc40251442"/>
      <w:bookmarkStart w:id="1158" w:name="_Toc40256552"/>
      <w:bookmarkStart w:id="1159" w:name="_Toc40247158"/>
      <w:bookmarkStart w:id="1160" w:name="_Toc40248029"/>
      <w:bookmarkStart w:id="1161" w:name="_Toc40248556"/>
      <w:bookmarkStart w:id="1162" w:name="_Toc40249676"/>
      <w:bookmarkStart w:id="1163" w:name="_Toc40251444"/>
      <w:bookmarkStart w:id="1164" w:name="_Toc40256554"/>
      <w:bookmarkStart w:id="1165" w:name="_Toc40247159"/>
      <w:bookmarkStart w:id="1166" w:name="_Toc40248030"/>
      <w:bookmarkStart w:id="1167" w:name="_Toc40248557"/>
      <w:bookmarkStart w:id="1168" w:name="_Toc40249677"/>
      <w:bookmarkStart w:id="1169" w:name="_Toc40251445"/>
      <w:bookmarkStart w:id="1170" w:name="_Toc40256555"/>
      <w:bookmarkStart w:id="1171" w:name="_Toc40247160"/>
      <w:bookmarkStart w:id="1172" w:name="_Toc40248031"/>
      <w:bookmarkStart w:id="1173" w:name="_Toc40248558"/>
      <w:bookmarkStart w:id="1174" w:name="_Toc40249678"/>
      <w:bookmarkStart w:id="1175" w:name="_Toc40251446"/>
      <w:bookmarkStart w:id="1176" w:name="_Toc40256556"/>
      <w:bookmarkStart w:id="1177" w:name="_Toc40247161"/>
      <w:bookmarkStart w:id="1178" w:name="_Toc40248032"/>
      <w:bookmarkStart w:id="1179" w:name="_Toc40248559"/>
      <w:bookmarkStart w:id="1180" w:name="_Toc40249679"/>
      <w:bookmarkStart w:id="1181" w:name="_Toc40251447"/>
      <w:bookmarkStart w:id="1182" w:name="_Toc40256557"/>
      <w:bookmarkStart w:id="1183" w:name="_Toc40247162"/>
      <w:bookmarkStart w:id="1184" w:name="_Toc40248033"/>
      <w:bookmarkStart w:id="1185" w:name="_Toc40248560"/>
      <w:bookmarkStart w:id="1186" w:name="_Toc40249680"/>
      <w:bookmarkStart w:id="1187" w:name="_Toc40251448"/>
      <w:bookmarkStart w:id="1188" w:name="_Toc40256558"/>
      <w:bookmarkStart w:id="1189" w:name="_Toc40247163"/>
      <w:bookmarkStart w:id="1190" w:name="_Toc40248034"/>
      <w:bookmarkStart w:id="1191" w:name="_Toc40248561"/>
      <w:bookmarkStart w:id="1192" w:name="_Toc40249681"/>
      <w:bookmarkStart w:id="1193" w:name="_Toc40251449"/>
      <w:bookmarkStart w:id="1194" w:name="_Toc40256559"/>
      <w:bookmarkStart w:id="1195" w:name="_Toc40247164"/>
      <w:bookmarkStart w:id="1196" w:name="_Toc40248035"/>
      <w:bookmarkStart w:id="1197" w:name="_Toc40248562"/>
      <w:bookmarkStart w:id="1198" w:name="_Toc40249682"/>
      <w:bookmarkStart w:id="1199" w:name="_Toc40251450"/>
      <w:bookmarkStart w:id="1200" w:name="_Toc40256560"/>
      <w:bookmarkStart w:id="1201" w:name="_Toc40247165"/>
      <w:bookmarkStart w:id="1202" w:name="_Toc40248036"/>
      <w:bookmarkStart w:id="1203" w:name="_Toc40248563"/>
      <w:bookmarkStart w:id="1204" w:name="_Toc40249683"/>
      <w:bookmarkStart w:id="1205" w:name="_Toc40251451"/>
      <w:bookmarkStart w:id="1206" w:name="_Toc40256561"/>
      <w:bookmarkStart w:id="1207" w:name="_Toc40247166"/>
      <w:bookmarkStart w:id="1208" w:name="_Toc40248037"/>
      <w:bookmarkStart w:id="1209" w:name="_Toc40248564"/>
      <w:bookmarkStart w:id="1210" w:name="_Toc40249684"/>
      <w:bookmarkStart w:id="1211" w:name="_Toc40251452"/>
      <w:bookmarkStart w:id="1212" w:name="_Toc40256562"/>
      <w:bookmarkStart w:id="1213" w:name="_Toc40247167"/>
      <w:bookmarkStart w:id="1214" w:name="_Toc40248038"/>
      <w:bookmarkStart w:id="1215" w:name="_Toc40248565"/>
      <w:bookmarkStart w:id="1216" w:name="_Toc40249685"/>
      <w:bookmarkStart w:id="1217" w:name="_Toc40251453"/>
      <w:bookmarkStart w:id="1218" w:name="_Toc40256563"/>
      <w:bookmarkStart w:id="1219" w:name="_Toc40247168"/>
      <w:bookmarkStart w:id="1220" w:name="_Toc40248039"/>
      <w:bookmarkStart w:id="1221" w:name="_Toc40248566"/>
      <w:bookmarkStart w:id="1222" w:name="_Toc40249686"/>
      <w:bookmarkStart w:id="1223" w:name="_Toc40251454"/>
      <w:bookmarkStart w:id="1224" w:name="_Toc40256564"/>
      <w:bookmarkStart w:id="1225" w:name="_Toc40247169"/>
      <w:bookmarkStart w:id="1226" w:name="_Toc40248040"/>
      <w:bookmarkStart w:id="1227" w:name="_Toc40248567"/>
      <w:bookmarkStart w:id="1228" w:name="_Toc40249687"/>
      <w:bookmarkStart w:id="1229" w:name="_Toc40251455"/>
      <w:bookmarkStart w:id="1230" w:name="_Toc40256565"/>
      <w:bookmarkStart w:id="1231" w:name="_Toc40247170"/>
      <w:bookmarkStart w:id="1232" w:name="_Toc40248041"/>
      <w:bookmarkStart w:id="1233" w:name="_Toc40248568"/>
      <w:bookmarkStart w:id="1234" w:name="_Toc40249688"/>
      <w:bookmarkStart w:id="1235" w:name="_Toc40251456"/>
      <w:bookmarkStart w:id="1236" w:name="_Toc40256566"/>
      <w:bookmarkStart w:id="1237" w:name="_Toc40247171"/>
      <w:bookmarkStart w:id="1238" w:name="_Toc40248042"/>
      <w:bookmarkStart w:id="1239" w:name="_Toc40248569"/>
      <w:bookmarkStart w:id="1240" w:name="_Toc40249689"/>
      <w:bookmarkStart w:id="1241" w:name="_Toc40251457"/>
      <w:bookmarkStart w:id="1242" w:name="_Toc40256567"/>
      <w:bookmarkStart w:id="1243" w:name="_Toc40247172"/>
      <w:bookmarkStart w:id="1244" w:name="_Toc40248043"/>
      <w:bookmarkStart w:id="1245" w:name="_Toc40248570"/>
      <w:bookmarkStart w:id="1246" w:name="_Toc40249690"/>
      <w:bookmarkStart w:id="1247" w:name="_Toc40251458"/>
      <w:bookmarkStart w:id="1248" w:name="_Toc40256568"/>
      <w:bookmarkStart w:id="1249" w:name="_Toc40186384"/>
      <w:bookmarkStart w:id="1250" w:name="_Toc40186779"/>
      <w:bookmarkStart w:id="1251" w:name="_Toc40215291"/>
      <w:bookmarkStart w:id="1252" w:name="_Toc40247173"/>
      <w:bookmarkStart w:id="1253" w:name="_Toc40248044"/>
      <w:bookmarkStart w:id="1254" w:name="_Toc40248571"/>
      <w:bookmarkStart w:id="1255" w:name="_Toc40249691"/>
      <w:bookmarkStart w:id="1256" w:name="_Toc40251459"/>
      <w:bookmarkStart w:id="1257" w:name="_Toc40256569"/>
      <w:bookmarkStart w:id="1258" w:name="_Toc40247174"/>
      <w:bookmarkStart w:id="1259" w:name="_Toc40248045"/>
      <w:bookmarkStart w:id="1260" w:name="_Toc40248572"/>
      <w:bookmarkStart w:id="1261" w:name="_Toc40249692"/>
      <w:bookmarkStart w:id="1262" w:name="_Toc40251460"/>
      <w:bookmarkStart w:id="1263" w:name="_Toc40256570"/>
      <w:bookmarkStart w:id="1264" w:name="_Toc40247175"/>
      <w:bookmarkStart w:id="1265" w:name="_Toc40248046"/>
      <w:bookmarkStart w:id="1266" w:name="_Toc40248573"/>
      <w:bookmarkStart w:id="1267" w:name="_Toc40249693"/>
      <w:bookmarkStart w:id="1268" w:name="_Toc40251461"/>
      <w:bookmarkStart w:id="1269" w:name="_Toc40256571"/>
      <w:bookmarkStart w:id="1270" w:name="_Toc40247176"/>
      <w:bookmarkStart w:id="1271" w:name="_Toc40248047"/>
      <w:bookmarkStart w:id="1272" w:name="_Toc40248574"/>
      <w:bookmarkStart w:id="1273" w:name="_Toc40249694"/>
      <w:bookmarkStart w:id="1274" w:name="_Toc40251462"/>
      <w:bookmarkStart w:id="1275" w:name="_Toc40256572"/>
      <w:bookmarkStart w:id="1276" w:name="_Toc40247177"/>
      <w:bookmarkStart w:id="1277" w:name="_Toc40248048"/>
      <w:bookmarkStart w:id="1278" w:name="_Toc40248575"/>
      <w:bookmarkStart w:id="1279" w:name="_Toc40249695"/>
      <w:bookmarkStart w:id="1280" w:name="_Toc40251463"/>
      <w:bookmarkStart w:id="1281" w:name="_Toc40256573"/>
      <w:bookmarkStart w:id="1282" w:name="_Toc40247178"/>
      <w:bookmarkStart w:id="1283" w:name="_Toc40248049"/>
      <w:bookmarkStart w:id="1284" w:name="_Toc40248576"/>
      <w:bookmarkStart w:id="1285" w:name="_Toc40249696"/>
      <w:bookmarkStart w:id="1286" w:name="_Toc40251464"/>
      <w:bookmarkStart w:id="1287" w:name="_Toc40256574"/>
      <w:bookmarkStart w:id="1288" w:name="_Toc40247179"/>
      <w:bookmarkStart w:id="1289" w:name="_Toc40248050"/>
      <w:bookmarkStart w:id="1290" w:name="_Toc40248577"/>
      <w:bookmarkStart w:id="1291" w:name="_Toc40249697"/>
      <w:bookmarkStart w:id="1292" w:name="_Toc40251465"/>
      <w:bookmarkStart w:id="1293" w:name="_Toc40256575"/>
      <w:bookmarkStart w:id="1294" w:name="_Toc40247180"/>
      <w:bookmarkStart w:id="1295" w:name="_Toc40248051"/>
      <w:bookmarkStart w:id="1296" w:name="_Toc40248578"/>
      <w:bookmarkStart w:id="1297" w:name="_Toc40249698"/>
      <w:bookmarkStart w:id="1298" w:name="_Toc40251466"/>
      <w:bookmarkStart w:id="1299" w:name="_Toc40256576"/>
      <w:bookmarkStart w:id="1300" w:name="_Toc40247181"/>
      <w:bookmarkStart w:id="1301" w:name="_Toc40248052"/>
      <w:bookmarkStart w:id="1302" w:name="_Toc40248579"/>
      <w:bookmarkStart w:id="1303" w:name="_Toc40249699"/>
      <w:bookmarkStart w:id="1304" w:name="_Toc40251467"/>
      <w:bookmarkStart w:id="1305" w:name="_Toc40256577"/>
      <w:bookmarkStart w:id="1306" w:name="_Toc40247182"/>
      <w:bookmarkStart w:id="1307" w:name="_Toc40248053"/>
      <w:bookmarkStart w:id="1308" w:name="_Toc40248580"/>
      <w:bookmarkStart w:id="1309" w:name="_Toc40249700"/>
      <w:bookmarkStart w:id="1310" w:name="_Toc40251468"/>
      <w:bookmarkStart w:id="1311" w:name="_Toc40256578"/>
      <w:bookmarkStart w:id="1312" w:name="_Toc40247183"/>
      <w:bookmarkStart w:id="1313" w:name="_Toc40248054"/>
      <w:bookmarkStart w:id="1314" w:name="_Toc40248581"/>
      <w:bookmarkStart w:id="1315" w:name="_Toc40249701"/>
      <w:bookmarkStart w:id="1316" w:name="_Toc40251469"/>
      <w:bookmarkStart w:id="1317" w:name="_Toc40256579"/>
      <w:bookmarkStart w:id="1318" w:name="_Toc40247184"/>
      <w:bookmarkStart w:id="1319" w:name="_Toc40248055"/>
      <w:bookmarkStart w:id="1320" w:name="_Toc40248582"/>
      <w:bookmarkStart w:id="1321" w:name="_Toc40249702"/>
      <w:bookmarkStart w:id="1322" w:name="_Toc40251470"/>
      <w:bookmarkStart w:id="1323" w:name="_Toc40256580"/>
      <w:bookmarkStart w:id="1324" w:name="_Toc40247185"/>
      <w:bookmarkStart w:id="1325" w:name="_Toc40248056"/>
      <w:bookmarkStart w:id="1326" w:name="_Toc40248583"/>
      <w:bookmarkStart w:id="1327" w:name="_Toc40249703"/>
      <w:bookmarkStart w:id="1328" w:name="_Toc40251471"/>
      <w:bookmarkStart w:id="1329" w:name="_Toc40256581"/>
      <w:bookmarkStart w:id="1330" w:name="_Toc40247186"/>
      <w:bookmarkStart w:id="1331" w:name="_Toc40248057"/>
      <w:bookmarkStart w:id="1332" w:name="_Toc40248584"/>
      <w:bookmarkStart w:id="1333" w:name="_Toc40249704"/>
      <w:bookmarkStart w:id="1334" w:name="_Toc40251472"/>
      <w:bookmarkStart w:id="1335" w:name="_Toc40256582"/>
      <w:bookmarkStart w:id="1336" w:name="_Toc40215293"/>
      <w:bookmarkStart w:id="1337" w:name="_Toc40247187"/>
      <w:bookmarkStart w:id="1338" w:name="_Toc40248058"/>
      <w:bookmarkStart w:id="1339" w:name="_Toc40248585"/>
      <w:bookmarkStart w:id="1340" w:name="_Toc40249705"/>
      <w:bookmarkStart w:id="1341" w:name="_Toc40251473"/>
      <w:bookmarkStart w:id="1342" w:name="_Toc40256583"/>
      <w:bookmarkStart w:id="1343" w:name="_Toc40215294"/>
      <w:bookmarkStart w:id="1344" w:name="_Toc40247188"/>
      <w:bookmarkStart w:id="1345" w:name="_Toc40248059"/>
      <w:bookmarkStart w:id="1346" w:name="_Toc40248586"/>
      <w:bookmarkStart w:id="1347" w:name="_Toc40249706"/>
      <w:bookmarkStart w:id="1348" w:name="_Toc40251474"/>
      <w:bookmarkStart w:id="1349" w:name="_Toc40256584"/>
      <w:bookmarkStart w:id="1350" w:name="_Toc40186386"/>
      <w:bookmarkStart w:id="1351" w:name="_Toc40186781"/>
      <w:bookmarkStart w:id="1352" w:name="_Toc40215295"/>
      <w:bookmarkStart w:id="1353" w:name="_Toc40247189"/>
      <w:bookmarkStart w:id="1354" w:name="_Toc40248060"/>
      <w:bookmarkStart w:id="1355" w:name="_Toc40248587"/>
      <w:bookmarkStart w:id="1356" w:name="_Toc40249707"/>
      <w:bookmarkStart w:id="1357" w:name="_Toc40251475"/>
      <w:bookmarkStart w:id="1358" w:name="_Toc40256585"/>
      <w:bookmarkStart w:id="1359" w:name="_Toc40186387"/>
      <w:bookmarkStart w:id="1360" w:name="_Toc40186782"/>
      <w:bookmarkStart w:id="1361" w:name="_Toc40215296"/>
      <w:bookmarkStart w:id="1362" w:name="_Toc40247190"/>
      <w:bookmarkStart w:id="1363" w:name="_Toc40248061"/>
      <w:bookmarkStart w:id="1364" w:name="_Toc40248588"/>
      <w:bookmarkStart w:id="1365" w:name="_Toc40249708"/>
      <w:bookmarkStart w:id="1366" w:name="_Toc40251476"/>
      <w:bookmarkStart w:id="1367" w:name="_Toc40256586"/>
      <w:bookmarkStart w:id="1368" w:name="_Toc40186783"/>
      <w:bookmarkStart w:id="1369" w:name="_Toc40215297"/>
      <w:bookmarkStart w:id="1370" w:name="_Toc40247191"/>
      <w:bookmarkStart w:id="1371" w:name="_Toc40248062"/>
      <w:bookmarkStart w:id="1372" w:name="_Toc40248589"/>
      <w:bookmarkStart w:id="1373" w:name="_Toc40249709"/>
      <w:bookmarkStart w:id="1374" w:name="_Toc40251477"/>
      <w:bookmarkStart w:id="1375" w:name="_Toc40256587"/>
      <w:bookmarkStart w:id="1376" w:name="_Toc40186784"/>
      <w:bookmarkStart w:id="1377" w:name="_Toc40215298"/>
      <w:bookmarkStart w:id="1378" w:name="_Toc40247192"/>
      <w:bookmarkStart w:id="1379" w:name="_Toc40248063"/>
      <w:bookmarkStart w:id="1380" w:name="_Toc40248590"/>
      <w:bookmarkStart w:id="1381" w:name="_Toc40249710"/>
      <w:bookmarkStart w:id="1382" w:name="_Toc40251478"/>
      <w:bookmarkStart w:id="1383" w:name="_Toc40256588"/>
      <w:bookmarkStart w:id="1384" w:name="_Toc40186785"/>
      <w:bookmarkStart w:id="1385" w:name="_Toc40215299"/>
      <w:bookmarkStart w:id="1386" w:name="_Toc40247193"/>
      <w:bookmarkStart w:id="1387" w:name="_Toc40248064"/>
      <w:bookmarkStart w:id="1388" w:name="_Toc40248591"/>
      <w:bookmarkStart w:id="1389" w:name="_Toc40249711"/>
      <w:bookmarkStart w:id="1390" w:name="_Toc40251479"/>
      <w:bookmarkStart w:id="1391" w:name="_Toc40256589"/>
      <w:bookmarkStart w:id="1392" w:name="_Toc40186786"/>
      <w:bookmarkStart w:id="1393" w:name="_Toc40215300"/>
      <w:bookmarkStart w:id="1394" w:name="_Toc40247194"/>
      <w:bookmarkStart w:id="1395" w:name="_Toc40248065"/>
      <w:bookmarkStart w:id="1396" w:name="_Toc40248592"/>
      <w:bookmarkStart w:id="1397" w:name="_Toc40249712"/>
      <w:bookmarkStart w:id="1398" w:name="_Toc40251480"/>
      <w:bookmarkStart w:id="1399" w:name="_Toc40256590"/>
      <w:bookmarkStart w:id="1400" w:name="_Toc40186787"/>
      <w:bookmarkStart w:id="1401" w:name="_Toc40215301"/>
      <w:bookmarkStart w:id="1402" w:name="_Toc40247195"/>
      <w:bookmarkStart w:id="1403" w:name="_Toc40248066"/>
      <w:bookmarkStart w:id="1404" w:name="_Toc40248593"/>
      <w:bookmarkStart w:id="1405" w:name="_Toc40249713"/>
      <w:bookmarkStart w:id="1406" w:name="_Toc40251481"/>
      <w:bookmarkStart w:id="1407" w:name="_Toc40256591"/>
      <w:bookmarkStart w:id="1408" w:name="_Toc40186788"/>
      <w:bookmarkStart w:id="1409" w:name="_Toc40215302"/>
      <w:bookmarkStart w:id="1410" w:name="_Toc40247196"/>
      <w:bookmarkStart w:id="1411" w:name="_Toc40248067"/>
      <w:bookmarkStart w:id="1412" w:name="_Toc40248594"/>
      <w:bookmarkStart w:id="1413" w:name="_Toc40249714"/>
      <w:bookmarkStart w:id="1414" w:name="_Toc40251482"/>
      <w:bookmarkStart w:id="1415" w:name="_Toc40256592"/>
      <w:bookmarkStart w:id="1416" w:name="_Toc40186789"/>
      <w:bookmarkStart w:id="1417" w:name="_Toc40215303"/>
      <w:bookmarkStart w:id="1418" w:name="_Toc40247197"/>
      <w:bookmarkStart w:id="1419" w:name="_Toc40248068"/>
      <w:bookmarkStart w:id="1420" w:name="_Toc40248595"/>
      <w:bookmarkStart w:id="1421" w:name="_Toc40249715"/>
      <w:bookmarkStart w:id="1422" w:name="_Toc40251483"/>
      <w:bookmarkStart w:id="1423" w:name="_Toc40256593"/>
      <w:bookmarkStart w:id="1424" w:name="_Toc40186790"/>
      <w:bookmarkStart w:id="1425" w:name="_Toc40215304"/>
      <w:bookmarkStart w:id="1426" w:name="_Toc40247198"/>
      <w:bookmarkStart w:id="1427" w:name="_Toc40248069"/>
      <w:bookmarkStart w:id="1428" w:name="_Toc40248596"/>
      <w:bookmarkStart w:id="1429" w:name="_Toc40249716"/>
      <w:bookmarkStart w:id="1430" w:name="_Toc40251484"/>
      <w:bookmarkStart w:id="1431" w:name="_Toc40256594"/>
      <w:bookmarkStart w:id="1432" w:name="_Toc40186791"/>
      <w:bookmarkStart w:id="1433" w:name="_Toc40215305"/>
      <w:bookmarkStart w:id="1434" w:name="_Toc40247199"/>
      <w:bookmarkStart w:id="1435" w:name="_Toc40248070"/>
      <w:bookmarkStart w:id="1436" w:name="_Toc40248597"/>
      <w:bookmarkStart w:id="1437" w:name="_Toc40249717"/>
      <w:bookmarkStart w:id="1438" w:name="_Toc40251485"/>
      <w:bookmarkStart w:id="1439" w:name="_Toc40256595"/>
      <w:bookmarkStart w:id="1440" w:name="_Toc40186792"/>
      <w:bookmarkStart w:id="1441" w:name="_Toc40215306"/>
      <w:bookmarkStart w:id="1442" w:name="_Toc40247200"/>
      <w:bookmarkStart w:id="1443" w:name="_Toc40248071"/>
      <w:bookmarkStart w:id="1444" w:name="_Toc40248598"/>
      <w:bookmarkStart w:id="1445" w:name="_Toc40249718"/>
      <w:bookmarkStart w:id="1446" w:name="_Toc40251486"/>
      <w:bookmarkStart w:id="1447" w:name="_Toc40256596"/>
      <w:bookmarkStart w:id="1448" w:name="_Toc40186793"/>
      <w:bookmarkStart w:id="1449" w:name="_Toc40215307"/>
      <w:bookmarkStart w:id="1450" w:name="_Toc40247201"/>
      <w:bookmarkStart w:id="1451" w:name="_Toc40248072"/>
      <w:bookmarkStart w:id="1452" w:name="_Toc40248599"/>
      <w:bookmarkStart w:id="1453" w:name="_Toc40249719"/>
      <w:bookmarkStart w:id="1454" w:name="_Toc40251487"/>
      <w:bookmarkStart w:id="1455" w:name="_Toc40256597"/>
      <w:bookmarkStart w:id="1456" w:name="_Toc40186794"/>
      <w:bookmarkStart w:id="1457" w:name="_Toc40215308"/>
      <w:bookmarkStart w:id="1458" w:name="_Toc40247202"/>
      <w:bookmarkStart w:id="1459" w:name="_Toc40248073"/>
      <w:bookmarkStart w:id="1460" w:name="_Toc40248600"/>
      <w:bookmarkStart w:id="1461" w:name="_Toc40249720"/>
      <w:bookmarkStart w:id="1462" w:name="_Toc40251488"/>
      <w:bookmarkStart w:id="1463" w:name="_Toc40256598"/>
      <w:bookmarkStart w:id="1464" w:name="_Toc40186795"/>
      <w:bookmarkStart w:id="1465" w:name="_Toc40215309"/>
      <w:bookmarkStart w:id="1466" w:name="_Toc40247203"/>
      <w:bookmarkStart w:id="1467" w:name="_Toc40248074"/>
      <w:bookmarkStart w:id="1468" w:name="_Toc40248601"/>
      <w:bookmarkStart w:id="1469" w:name="_Toc40249721"/>
      <w:bookmarkStart w:id="1470" w:name="_Toc40251489"/>
      <w:bookmarkStart w:id="1471" w:name="_Toc40256599"/>
      <w:bookmarkStart w:id="1472" w:name="_Toc40186796"/>
      <w:bookmarkStart w:id="1473" w:name="_Toc40215310"/>
      <w:bookmarkStart w:id="1474" w:name="_Toc40247204"/>
      <w:bookmarkStart w:id="1475" w:name="_Toc40248075"/>
      <w:bookmarkStart w:id="1476" w:name="_Toc40248602"/>
      <w:bookmarkStart w:id="1477" w:name="_Toc40249722"/>
      <w:bookmarkStart w:id="1478" w:name="_Toc40251490"/>
      <w:bookmarkStart w:id="1479" w:name="_Toc40256600"/>
      <w:bookmarkStart w:id="1480" w:name="_Toc40186797"/>
      <w:bookmarkStart w:id="1481" w:name="_Toc40215311"/>
      <w:bookmarkStart w:id="1482" w:name="_Toc40247205"/>
      <w:bookmarkStart w:id="1483" w:name="_Toc40248076"/>
      <w:bookmarkStart w:id="1484" w:name="_Toc40248603"/>
      <w:bookmarkStart w:id="1485" w:name="_Toc40249723"/>
      <w:bookmarkStart w:id="1486" w:name="_Toc40251491"/>
      <w:bookmarkStart w:id="1487" w:name="_Toc40256601"/>
      <w:bookmarkStart w:id="1488" w:name="_Toc40186389"/>
      <w:bookmarkStart w:id="1489" w:name="_Toc40186798"/>
      <w:bookmarkStart w:id="1490" w:name="_Toc40215312"/>
      <w:bookmarkStart w:id="1491" w:name="_Toc40247206"/>
      <w:bookmarkStart w:id="1492" w:name="_Toc40248077"/>
      <w:bookmarkStart w:id="1493" w:name="_Toc40248604"/>
      <w:bookmarkStart w:id="1494" w:name="_Toc40249724"/>
      <w:bookmarkStart w:id="1495" w:name="_Toc40251492"/>
      <w:bookmarkStart w:id="1496" w:name="_Toc40256602"/>
      <w:bookmarkStart w:id="1497" w:name="_Toc40247207"/>
      <w:bookmarkStart w:id="1498" w:name="_Toc40248078"/>
      <w:bookmarkStart w:id="1499" w:name="_Toc40248605"/>
      <w:bookmarkStart w:id="1500" w:name="_Toc40249725"/>
      <w:bookmarkStart w:id="1501" w:name="_Toc40251493"/>
      <w:bookmarkStart w:id="1502" w:name="_Toc40256603"/>
      <w:bookmarkStart w:id="1503" w:name="_Toc40247208"/>
      <w:bookmarkStart w:id="1504" w:name="_Toc40248079"/>
      <w:bookmarkStart w:id="1505" w:name="_Toc40248606"/>
      <w:bookmarkStart w:id="1506" w:name="_Toc40249726"/>
      <w:bookmarkStart w:id="1507" w:name="_Toc40251494"/>
      <w:bookmarkStart w:id="1508" w:name="_Toc40256604"/>
      <w:bookmarkStart w:id="1509" w:name="_Toc40247209"/>
      <w:bookmarkStart w:id="1510" w:name="_Toc40248080"/>
      <w:bookmarkStart w:id="1511" w:name="_Toc40248607"/>
      <w:bookmarkStart w:id="1512" w:name="_Toc40249727"/>
      <w:bookmarkStart w:id="1513" w:name="_Toc40251495"/>
      <w:bookmarkStart w:id="1514" w:name="_Toc40256605"/>
      <w:bookmarkStart w:id="1515" w:name="_Toc40247210"/>
      <w:bookmarkStart w:id="1516" w:name="_Toc40248081"/>
      <w:bookmarkStart w:id="1517" w:name="_Toc40248608"/>
      <w:bookmarkStart w:id="1518" w:name="_Toc40249728"/>
      <w:bookmarkStart w:id="1519" w:name="_Toc40251496"/>
      <w:bookmarkStart w:id="1520" w:name="_Toc40256606"/>
      <w:bookmarkStart w:id="1521" w:name="_Toc40247211"/>
      <w:bookmarkStart w:id="1522" w:name="_Toc40248082"/>
      <w:bookmarkStart w:id="1523" w:name="_Toc40248609"/>
      <w:bookmarkStart w:id="1524" w:name="_Toc40249729"/>
      <w:bookmarkStart w:id="1525" w:name="_Toc40251497"/>
      <w:bookmarkStart w:id="1526" w:name="_Toc40256607"/>
      <w:bookmarkStart w:id="1527" w:name="_Toc40247212"/>
      <w:bookmarkStart w:id="1528" w:name="_Toc40248083"/>
      <w:bookmarkStart w:id="1529" w:name="_Toc40248610"/>
      <w:bookmarkStart w:id="1530" w:name="_Toc40249730"/>
      <w:bookmarkStart w:id="1531" w:name="_Toc40251498"/>
      <w:bookmarkStart w:id="1532" w:name="_Toc40256608"/>
      <w:bookmarkStart w:id="1533" w:name="_Toc40247213"/>
      <w:bookmarkStart w:id="1534" w:name="_Toc40248084"/>
      <w:bookmarkStart w:id="1535" w:name="_Toc40248611"/>
      <w:bookmarkStart w:id="1536" w:name="_Toc40249731"/>
      <w:bookmarkStart w:id="1537" w:name="_Toc40251499"/>
      <w:bookmarkStart w:id="1538" w:name="_Toc40256609"/>
      <w:bookmarkStart w:id="1539" w:name="_Toc40247214"/>
      <w:bookmarkStart w:id="1540" w:name="_Toc40248085"/>
      <w:bookmarkStart w:id="1541" w:name="_Toc40248612"/>
      <w:bookmarkStart w:id="1542" w:name="_Toc40249732"/>
      <w:bookmarkStart w:id="1543" w:name="_Toc40251500"/>
      <w:bookmarkStart w:id="1544" w:name="_Toc40256610"/>
      <w:bookmarkStart w:id="1545" w:name="_Toc40215314"/>
      <w:bookmarkStart w:id="1546" w:name="_Toc40247215"/>
      <w:bookmarkStart w:id="1547" w:name="_Toc40248086"/>
      <w:bookmarkStart w:id="1548" w:name="_Toc40248613"/>
      <w:bookmarkStart w:id="1549" w:name="_Toc40249733"/>
      <w:bookmarkStart w:id="1550" w:name="_Toc40251501"/>
      <w:bookmarkStart w:id="1551" w:name="_Toc40256611"/>
      <w:bookmarkStart w:id="1552" w:name="_Toc40247216"/>
      <w:bookmarkStart w:id="1553" w:name="_Toc40248087"/>
      <w:bookmarkStart w:id="1554" w:name="_Toc40248614"/>
      <w:bookmarkStart w:id="1555" w:name="_Toc40249734"/>
      <w:bookmarkStart w:id="1556" w:name="_Toc40251502"/>
      <w:bookmarkStart w:id="1557" w:name="_Toc40256612"/>
      <w:bookmarkStart w:id="1558" w:name="_Toc40247217"/>
      <w:bookmarkStart w:id="1559" w:name="_Toc40248088"/>
      <w:bookmarkStart w:id="1560" w:name="_Toc40248615"/>
      <w:bookmarkStart w:id="1561" w:name="_Toc40249735"/>
      <w:bookmarkStart w:id="1562" w:name="_Toc40251503"/>
      <w:bookmarkStart w:id="1563" w:name="_Toc40256613"/>
      <w:bookmarkStart w:id="1564" w:name="_Toc40247218"/>
      <w:bookmarkStart w:id="1565" w:name="_Toc40248089"/>
      <w:bookmarkStart w:id="1566" w:name="_Toc40248616"/>
      <w:bookmarkStart w:id="1567" w:name="_Toc40249736"/>
      <w:bookmarkStart w:id="1568" w:name="_Toc40251504"/>
      <w:bookmarkStart w:id="1569" w:name="_Toc40256614"/>
      <w:bookmarkStart w:id="1570" w:name="_Toc40247219"/>
      <w:bookmarkStart w:id="1571" w:name="_Toc40248090"/>
      <w:bookmarkStart w:id="1572" w:name="_Toc40248617"/>
      <w:bookmarkStart w:id="1573" w:name="_Toc40249737"/>
      <w:bookmarkStart w:id="1574" w:name="_Toc40251505"/>
      <w:bookmarkStart w:id="1575" w:name="_Toc40256615"/>
      <w:bookmarkStart w:id="1576" w:name="_Toc40247220"/>
      <w:bookmarkStart w:id="1577" w:name="_Toc40248091"/>
      <w:bookmarkStart w:id="1578" w:name="_Toc40248618"/>
      <w:bookmarkStart w:id="1579" w:name="_Toc40249738"/>
      <w:bookmarkStart w:id="1580" w:name="_Toc40251506"/>
      <w:bookmarkStart w:id="1581" w:name="_Toc40256616"/>
      <w:bookmarkStart w:id="1582" w:name="_Toc40247221"/>
      <w:bookmarkStart w:id="1583" w:name="_Toc40248092"/>
      <w:bookmarkStart w:id="1584" w:name="_Toc40248619"/>
      <w:bookmarkStart w:id="1585" w:name="_Toc40249739"/>
      <w:bookmarkStart w:id="1586" w:name="_Toc40251507"/>
      <w:bookmarkStart w:id="1587" w:name="_Toc40256617"/>
      <w:bookmarkStart w:id="1588" w:name="_Toc40247222"/>
      <w:bookmarkStart w:id="1589" w:name="_Toc40248093"/>
      <w:bookmarkStart w:id="1590" w:name="_Toc40248620"/>
      <w:bookmarkStart w:id="1591" w:name="_Toc40249740"/>
      <w:bookmarkStart w:id="1592" w:name="_Toc40251508"/>
      <w:bookmarkStart w:id="1593" w:name="_Toc40256618"/>
      <w:bookmarkStart w:id="1594" w:name="_Toc40247223"/>
      <w:bookmarkStart w:id="1595" w:name="_Toc40248094"/>
      <w:bookmarkStart w:id="1596" w:name="_Toc40248621"/>
      <w:bookmarkStart w:id="1597" w:name="_Toc40249741"/>
      <w:bookmarkStart w:id="1598" w:name="_Toc40251509"/>
      <w:bookmarkStart w:id="1599" w:name="_Toc40256619"/>
      <w:bookmarkStart w:id="1600" w:name="_Toc40247224"/>
      <w:bookmarkStart w:id="1601" w:name="_Toc40248095"/>
      <w:bookmarkStart w:id="1602" w:name="_Toc40248622"/>
      <w:bookmarkStart w:id="1603" w:name="_Toc40249742"/>
      <w:bookmarkStart w:id="1604" w:name="_Toc40251510"/>
      <w:bookmarkStart w:id="1605" w:name="_Toc40256620"/>
      <w:bookmarkStart w:id="1606" w:name="_Toc40247225"/>
      <w:bookmarkStart w:id="1607" w:name="_Toc40248096"/>
      <w:bookmarkStart w:id="1608" w:name="_Toc40248623"/>
      <w:bookmarkStart w:id="1609" w:name="_Toc40249743"/>
      <w:bookmarkStart w:id="1610" w:name="_Toc40251511"/>
      <w:bookmarkStart w:id="1611" w:name="_Toc40256621"/>
      <w:bookmarkStart w:id="1612" w:name="_Toc40247226"/>
      <w:bookmarkStart w:id="1613" w:name="_Toc40248097"/>
      <w:bookmarkStart w:id="1614" w:name="_Toc40248624"/>
      <w:bookmarkStart w:id="1615" w:name="_Toc40249744"/>
      <w:bookmarkStart w:id="1616" w:name="_Toc40251512"/>
      <w:bookmarkStart w:id="1617" w:name="_Toc40256622"/>
      <w:bookmarkStart w:id="1618" w:name="_Toc40247227"/>
      <w:bookmarkStart w:id="1619" w:name="_Toc40248098"/>
      <w:bookmarkStart w:id="1620" w:name="_Toc40248625"/>
      <w:bookmarkStart w:id="1621" w:name="_Toc40249745"/>
      <w:bookmarkStart w:id="1622" w:name="_Toc40251513"/>
      <w:bookmarkStart w:id="1623" w:name="_Toc40256623"/>
      <w:bookmarkStart w:id="1624" w:name="_Toc40247228"/>
      <w:bookmarkStart w:id="1625" w:name="_Toc40248099"/>
      <w:bookmarkStart w:id="1626" w:name="_Toc40248626"/>
      <w:bookmarkStart w:id="1627" w:name="_Toc40249746"/>
      <w:bookmarkStart w:id="1628" w:name="_Toc40251514"/>
      <w:bookmarkStart w:id="1629" w:name="_Toc40256624"/>
      <w:bookmarkStart w:id="1630" w:name="_Toc40247229"/>
      <w:bookmarkStart w:id="1631" w:name="_Toc40248100"/>
      <w:bookmarkStart w:id="1632" w:name="_Toc40248627"/>
      <w:bookmarkStart w:id="1633" w:name="_Toc40249747"/>
      <w:bookmarkStart w:id="1634" w:name="_Toc40251515"/>
      <w:bookmarkStart w:id="1635" w:name="_Toc40256625"/>
      <w:bookmarkStart w:id="1636" w:name="_Toc40247230"/>
      <w:bookmarkStart w:id="1637" w:name="_Toc40248101"/>
      <w:bookmarkStart w:id="1638" w:name="_Toc40248628"/>
      <w:bookmarkStart w:id="1639" w:name="_Toc40249748"/>
      <w:bookmarkStart w:id="1640" w:name="_Toc40251516"/>
      <w:bookmarkStart w:id="1641" w:name="_Toc40256626"/>
      <w:bookmarkStart w:id="1642" w:name="_Toc40247231"/>
      <w:bookmarkStart w:id="1643" w:name="_Toc40248102"/>
      <w:bookmarkStart w:id="1644" w:name="_Toc40248629"/>
      <w:bookmarkStart w:id="1645" w:name="_Toc40249749"/>
      <w:bookmarkStart w:id="1646" w:name="_Toc40251517"/>
      <w:bookmarkStart w:id="1647" w:name="_Toc40256627"/>
      <w:bookmarkStart w:id="1648" w:name="_Toc40247232"/>
      <w:bookmarkStart w:id="1649" w:name="_Toc40248103"/>
      <w:bookmarkStart w:id="1650" w:name="_Toc40248630"/>
      <w:bookmarkStart w:id="1651" w:name="_Toc40249750"/>
      <w:bookmarkStart w:id="1652" w:name="_Toc40251518"/>
      <w:bookmarkStart w:id="1653" w:name="_Toc40256628"/>
      <w:bookmarkStart w:id="1654" w:name="_Toc40247233"/>
      <w:bookmarkStart w:id="1655" w:name="_Toc40248104"/>
      <w:bookmarkStart w:id="1656" w:name="_Toc40248631"/>
      <w:bookmarkStart w:id="1657" w:name="_Toc40249751"/>
      <w:bookmarkStart w:id="1658" w:name="_Toc40251519"/>
      <w:bookmarkStart w:id="1659" w:name="_Toc40256629"/>
      <w:bookmarkStart w:id="1660" w:name="_Toc40247234"/>
      <w:bookmarkStart w:id="1661" w:name="_Toc40248105"/>
      <w:bookmarkStart w:id="1662" w:name="_Toc40248632"/>
      <w:bookmarkStart w:id="1663" w:name="_Toc40249752"/>
      <w:bookmarkStart w:id="1664" w:name="_Toc40251520"/>
      <w:bookmarkStart w:id="1665" w:name="_Toc40256630"/>
      <w:bookmarkStart w:id="1666" w:name="_Toc40247235"/>
      <w:bookmarkStart w:id="1667" w:name="_Toc40248106"/>
      <w:bookmarkStart w:id="1668" w:name="_Toc40248633"/>
      <w:bookmarkStart w:id="1669" w:name="_Toc40249753"/>
      <w:bookmarkStart w:id="1670" w:name="_Toc40251521"/>
      <w:bookmarkStart w:id="1671" w:name="_Toc40256631"/>
      <w:bookmarkStart w:id="1672" w:name="_Toc40247236"/>
      <w:bookmarkStart w:id="1673" w:name="_Toc40248107"/>
      <w:bookmarkStart w:id="1674" w:name="_Toc40248634"/>
      <w:bookmarkStart w:id="1675" w:name="_Toc40249754"/>
      <w:bookmarkStart w:id="1676" w:name="_Toc40251522"/>
      <w:bookmarkStart w:id="1677" w:name="_Toc40256632"/>
      <w:bookmarkStart w:id="1678" w:name="_Toc40247237"/>
      <w:bookmarkStart w:id="1679" w:name="_Toc40248108"/>
      <w:bookmarkStart w:id="1680" w:name="_Toc40248635"/>
      <w:bookmarkStart w:id="1681" w:name="_Toc40249755"/>
      <w:bookmarkStart w:id="1682" w:name="_Toc40251523"/>
      <w:bookmarkStart w:id="1683" w:name="_Toc40256633"/>
      <w:bookmarkStart w:id="1684" w:name="_Toc40247238"/>
      <w:bookmarkStart w:id="1685" w:name="_Toc40248109"/>
      <w:bookmarkStart w:id="1686" w:name="_Toc40248636"/>
      <w:bookmarkStart w:id="1687" w:name="_Toc40249756"/>
      <w:bookmarkStart w:id="1688" w:name="_Toc40251524"/>
      <w:bookmarkStart w:id="1689" w:name="_Toc40256634"/>
      <w:bookmarkStart w:id="1690" w:name="_Toc40247239"/>
      <w:bookmarkStart w:id="1691" w:name="_Toc40248110"/>
      <w:bookmarkStart w:id="1692" w:name="_Toc40248637"/>
      <w:bookmarkStart w:id="1693" w:name="_Toc40249757"/>
      <w:bookmarkStart w:id="1694" w:name="_Toc40251525"/>
      <w:bookmarkStart w:id="1695" w:name="_Toc40256635"/>
      <w:bookmarkStart w:id="1696" w:name="_Toc40247240"/>
      <w:bookmarkStart w:id="1697" w:name="_Toc40248111"/>
      <w:bookmarkStart w:id="1698" w:name="_Toc40248638"/>
      <w:bookmarkStart w:id="1699" w:name="_Toc40249758"/>
      <w:bookmarkStart w:id="1700" w:name="_Toc40251526"/>
      <w:bookmarkStart w:id="1701" w:name="_Toc40256636"/>
      <w:bookmarkStart w:id="1702" w:name="_Toc40247241"/>
      <w:bookmarkStart w:id="1703" w:name="_Toc40248112"/>
      <w:bookmarkStart w:id="1704" w:name="_Toc40248639"/>
      <w:bookmarkStart w:id="1705" w:name="_Toc40249759"/>
      <w:bookmarkStart w:id="1706" w:name="_Toc40251527"/>
      <w:bookmarkStart w:id="1707" w:name="_Toc40256637"/>
      <w:bookmarkStart w:id="1708" w:name="_Toc40247242"/>
      <w:bookmarkStart w:id="1709" w:name="_Toc40248113"/>
      <w:bookmarkStart w:id="1710" w:name="_Toc40248640"/>
      <w:bookmarkStart w:id="1711" w:name="_Toc40249760"/>
      <w:bookmarkStart w:id="1712" w:name="_Toc40251528"/>
      <w:bookmarkStart w:id="1713" w:name="_Toc40256638"/>
      <w:bookmarkStart w:id="1714" w:name="_Toc40247243"/>
      <w:bookmarkStart w:id="1715" w:name="_Toc40248114"/>
      <w:bookmarkStart w:id="1716" w:name="_Toc40248641"/>
      <w:bookmarkStart w:id="1717" w:name="_Toc40249761"/>
      <w:bookmarkStart w:id="1718" w:name="_Toc40251529"/>
      <w:bookmarkStart w:id="1719" w:name="_Toc40256639"/>
      <w:bookmarkStart w:id="1720" w:name="_Toc40247244"/>
      <w:bookmarkStart w:id="1721" w:name="_Toc40248115"/>
      <w:bookmarkStart w:id="1722" w:name="_Toc40248642"/>
      <w:bookmarkStart w:id="1723" w:name="_Toc40249762"/>
      <w:bookmarkStart w:id="1724" w:name="_Toc40251530"/>
      <w:bookmarkStart w:id="1725" w:name="_Toc40256640"/>
      <w:bookmarkStart w:id="1726" w:name="_Toc40247245"/>
      <w:bookmarkStart w:id="1727" w:name="_Toc40248116"/>
      <w:bookmarkStart w:id="1728" w:name="_Toc40248643"/>
      <w:bookmarkStart w:id="1729" w:name="_Toc40249763"/>
      <w:bookmarkStart w:id="1730" w:name="_Toc40251531"/>
      <w:bookmarkStart w:id="1731" w:name="_Toc40256641"/>
      <w:bookmarkStart w:id="1732" w:name="_Toc40247246"/>
      <w:bookmarkStart w:id="1733" w:name="_Toc40248117"/>
      <w:bookmarkStart w:id="1734" w:name="_Toc40248644"/>
      <w:bookmarkStart w:id="1735" w:name="_Toc40249764"/>
      <w:bookmarkStart w:id="1736" w:name="_Toc40251532"/>
      <w:bookmarkStart w:id="1737" w:name="_Toc40256642"/>
      <w:bookmarkStart w:id="1738" w:name="_Toc40247247"/>
      <w:bookmarkStart w:id="1739" w:name="_Toc40248118"/>
      <w:bookmarkStart w:id="1740" w:name="_Toc40248645"/>
      <w:bookmarkStart w:id="1741" w:name="_Toc40249765"/>
      <w:bookmarkStart w:id="1742" w:name="_Toc40251533"/>
      <w:bookmarkStart w:id="1743" w:name="_Toc40256643"/>
      <w:bookmarkStart w:id="1744" w:name="_Toc40247248"/>
      <w:bookmarkStart w:id="1745" w:name="_Toc40248119"/>
      <w:bookmarkStart w:id="1746" w:name="_Toc40248646"/>
      <w:bookmarkStart w:id="1747" w:name="_Toc40249766"/>
      <w:bookmarkStart w:id="1748" w:name="_Toc40251534"/>
      <w:bookmarkStart w:id="1749" w:name="_Toc40256644"/>
      <w:bookmarkStart w:id="1750" w:name="_Toc40247249"/>
      <w:bookmarkStart w:id="1751" w:name="_Toc40248120"/>
      <w:bookmarkStart w:id="1752" w:name="_Toc40248647"/>
      <w:bookmarkStart w:id="1753" w:name="_Toc40249767"/>
      <w:bookmarkStart w:id="1754" w:name="_Toc40251535"/>
      <w:bookmarkStart w:id="1755" w:name="_Toc40256645"/>
      <w:bookmarkStart w:id="1756" w:name="_Toc40247250"/>
      <w:bookmarkStart w:id="1757" w:name="_Toc40248121"/>
      <w:bookmarkStart w:id="1758" w:name="_Toc40248648"/>
      <w:bookmarkStart w:id="1759" w:name="_Toc40249768"/>
      <w:bookmarkStart w:id="1760" w:name="_Toc40251536"/>
      <w:bookmarkStart w:id="1761" w:name="_Toc40256646"/>
      <w:bookmarkStart w:id="1762" w:name="_Toc40247251"/>
      <w:bookmarkStart w:id="1763" w:name="_Toc40248122"/>
      <w:bookmarkStart w:id="1764" w:name="_Toc40248649"/>
      <w:bookmarkStart w:id="1765" w:name="_Toc40249769"/>
      <w:bookmarkStart w:id="1766" w:name="_Toc40251537"/>
      <w:bookmarkStart w:id="1767" w:name="_Toc40256647"/>
      <w:bookmarkStart w:id="1768" w:name="_Toc40247252"/>
      <w:bookmarkStart w:id="1769" w:name="_Toc40248123"/>
      <w:bookmarkStart w:id="1770" w:name="_Toc40248650"/>
      <w:bookmarkStart w:id="1771" w:name="_Toc40249770"/>
      <w:bookmarkStart w:id="1772" w:name="_Toc40251538"/>
      <w:bookmarkStart w:id="1773" w:name="_Toc40256648"/>
      <w:bookmarkStart w:id="1774" w:name="_Toc40247253"/>
      <w:bookmarkStart w:id="1775" w:name="_Toc40248124"/>
      <w:bookmarkStart w:id="1776" w:name="_Toc40248651"/>
      <w:bookmarkStart w:id="1777" w:name="_Toc40249771"/>
      <w:bookmarkStart w:id="1778" w:name="_Toc40251539"/>
      <w:bookmarkStart w:id="1779" w:name="_Toc40256649"/>
      <w:bookmarkStart w:id="1780" w:name="_Toc40247254"/>
      <w:bookmarkStart w:id="1781" w:name="_Toc40248125"/>
      <w:bookmarkStart w:id="1782" w:name="_Toc40248652"/>
      <w:bookmarkStart w:id="1783" w:name="_Toc40249772"/>
      <w:bookmarkStart w:id="1784" w:name="_Toc40251540"/>
      <w:bookmarkStart w:id="1785" w:name="_Toc40256650"/>
      <w:bookmarkStart w:id="1786" w:name="_Toc40247255"/>
      <w:bookmarkStart w:id="1787" w:name="_Toc40248126"/>
      <w:bookmarkStart w:id="1788" w:name="_Toc40248653"/>
      <w:bookmarkStart w:id="1789" w:name="_Toc40249773"/>
      <w:bookmarkStart w:id="1790" w:name="_Toc40251541"/>
      <w:bookmarkStart w:id="1791" w:name="_Toc40256651"/>
      <w:bookmarkStart w:id="1792" w:name="_Toc40247256"/>
      <w:bookmarkStart w:id="1793" w:name="_Toc40248127"/>
      <w:bookmarkStart w:id="1794" w:name="_Toc40248654"/>
      <w:bookmarkStart w:id="1795" w:name="_Toc40249774"/>
      <w:bookmarkStart w:id="1796" w:name="_Toc40251542"/>
      <w:bookmarkStart w:id="1797" w:name="_Toc40256652"/>
      <w:bookmarkStart w:id="1798" w:name="_Toc40247257"/>
      <w:bookmarkStart w:id="1799" w:name="_Toc40248128"/>
      <w:bookmarkStart w:id="1800" w:name="_Toc40248655"/>
      <w:bookmarkStart w:id="1801" w:name="_Toc40249775"/>
      <w:bookmarkStart w:id="1802" w:name="_Toc40251543"/>
      <w:bookmarkStart w:id="1803" w:name="_Toc40256653"/>
      <w:bookmarkStart w:id="1804" w:name="_Toc40247258"/>
      <w:bookmarkStart w:id="1805" w:name="_Toc40248129"/>
      <w:bookmarkStart w:id="1806" w:name="_Toc40248656"/>
      <w:bookmarkStart w:id="1807" w:name="_Toc40249776"/>
      <w:bookmarkStart w:id="1808" w:name="_Toc40251544"/>
      <w:bookmarkStart w:id="1809" w:name="_Toc40256654"/>
      <w:bookmarkStart w:id="1810" w:name="_Toc40247259"/>
      <w:bookmarkStart w:id="1811" w:name="_Toc40248130"/>
      <w:bookmarkStart w:id="1812" w:name="_Toc40248657"/>
      <w:bookmarkStart w:id="1813" w:name="_Toc40249777"/>
      <w:bookmarkStart w:id="1814" w:name="_Toc40251545"/>
      <w:bookmarkStart w:id="1815" w:name="_Toc40256655"/>
      <w:bookmarkStart w:id="1816" w:name="_Toc40247260"/>
      <w:bookmarkStart w:id="1817" w:name="_Toc40248131"/>
      <w:bookmarkStart w:id="1818" w:name="_Toc40248658"/>
      <w:bookmarkStart w:id="1819" w:name="_Toc40249778"/>
      <w:bookmarkStart w:id="1820" w:name="_Toc40251546"/>
      <w:bookmarkStart w:id="1821" w:name="_Toc40256656"/>
      <w:bookmarkStart w:id="1822" w:name="_Toc40247261"/>
      <w:bookmarkStart w:id="1823" w:name="_Toc40248132"/>
      <w:bookmarkStart w:id="1824" w:name="_Toc40248659"/>
      <w:bookmarkStart w:id="1825" w:name="_Toc40249779"/>
      <w:bookmarkStart w:id="1826" w:name="_Toc40251547"/>
      <w:bookmarkStart w:id="1827" w:name="_Toc40256657"/>
      <w:bookmarkStart w:id="1828" w:name="_Toc40247262"/>
      <w:bookmarkStart w:id="1829" w:name="_Toc40248133"/>
      <w:bookmarkStart w:id="1830" w:name="_Toc40248660"/>
      <w:bookmarkStart w:id="1831" w:name="_Toc40249780"/>
      <w:bookmarkStart w:id="1832" w:name="_Toc40251548"/>
      <w:bookmarkStart w:id="1833" w:name="_Toc40256658"/>
      <w:bookmarkStart w:id="1834" w:name="_Toc40247263"/>
      <w:bookmarkStart w:id="1835" w:name="_Toc40248134"/>
      <w:bookmarkStart w:id="1836" w:name="_Toc40248661"/>
      <w:bookmarkStart w:id="1837" w:name="_Toc40249781"/>
      <w:bookmarkStart w:id="1838" w:name="_Toc40251549"/>
      <w:bookmarkStart w:id="1839" w:name="_Toc40256659"/>
      <w:bookmarkStart w:id="1840" w:name="_Toc40247264"/>
      <w:bookmarkStart w:id="1841" w:name="_Toc40248135"/>
      <w:bookmarkStart w:id="1842" w:name="_Toc40248662"/>
      <w:bookmarkStart w:id="1843" w:name="_Toc40249782"/>
      <w:bookmarkStart w:id="1844" w:name="_Toc40251550"/>
      <w:bookmarkStart w:id="1845" w:name="_Toc40256660"/>
      <w:bookmarkStart w:id="1846" w:name="_Toc40247265"/>
      <w:bookmarkStart w:id="1847" w:name="_Toc40248136"/>
      <w:bookmarkStart w:id="1848" w:name="_Toc40248663"/>
      <w:bookmarkStart w:id="1849" w:name="_Toc40249783"/>
      <w:bookmarkStart w:id="1850" w:name="_Toc40251551"/>
      <w:bookmarkStart w:id="1851" w:name="_Toc40256661"/>
      <w:bookmarkStart w:id="1852" w:name="_Toc40247266"/>
      <w:bookmarkStart w:id="1853" w:name="_Toc40248137"/>
      <w:bookmarkStart w:id="1854" w:name="_Toc40248664"/>
      <w:bookmarkStart w:id="1855" w:name="_Toc40249784"/>
      <w:bookmarkStart w:id="1856" w:name="_Toc40251552"/>
      <w:bookmarkStart w:id="1857" w:name="_Toc40256662"/>
      <w:bookmarkStart w:id="1858" w:name="_Toc40247267"/>
      <w:bookmarkStart w:id="1859" w:name="_Toc40248138"/>
      <w:bookmarkStart w:id="1860" w:name="_Toc40248665"/>
      <w:bookmarkStart w:id="1861" w:name="_Toc40249785"/>
      <w:bookmarkStart w:id="1862" w:name="_Toc40251553"/>
      <w:bookmarkStart w:id="1863" w:name="_Toc40256663"/>
      <w:bookmarkStart w:id="1864" w:name="_Toc40247268"/>
      <w:bookmarkStart w:id="1865" w:name="_Toc40248139"/>
      <w:bookmarkStart w:id="1866" w:name="_Toc40248666"/>
      <w:bookmarkStart w:id="1867" w:name="_Toc40249786"/>
      <w:bookmarkStart w:id="1868" w:name="_Toc40251554"/>
      <w:bookmarkStart w:id="1869" w:name="_Toc40256664"/>
      <w:bookmarkStart w:id="1870" w:name="_Toc40247269"/>
      <w:bookmarkStart w:id="1871" w:name="_Toc40248140"/>
      <w:bookmarkStart w:id="1872" w:name="_Toc40248667"/>
      <w:bookmarkStart w:id="1873" w:name="_Toc40249787"/>
      <w:bookmarkStart w:id="1874" w:name="_Toc40251555"/>
      <w:bookmarkStart w:id="1875" w:name="_Toc40256665"/>
      <w:bookmarkStart w:id="1876" w:name="_Toc40247270"/>
      <w:bookmarkStart w:id="1877" w:name="_Toc40248141"/>
      <w:bookmarkStart w:id="1878" w:name="_Toc40248668"/>
      <w:bookmarkStart w:id="1879" w:name="_Toc40249788"/>
      <w:bookmarkStart w:id="1880" w:name="_Toc40251556"/>
      <w:bookmarkStart w:id="1881" w:name="_Toc40256666"/>
      <w:bookmarkStart w:id="1882" w:name="_Toc40247271"/>
      <w:bookmarkStart w:id="1883" w:name="_Toc40248142"/>
      <w:bookmarkStart w:id="1884" w:name="_Toc40248669"/>
      <w:bookmarkStart w:id="1885" w:name="_Toc40249789"/>
      <w:bookmarkStart w:id="1886" w:name="_Toc40251557"/>
      <w:bookmarkStart w:id="1887" w:name="_Toc40256667"/>
      <w:bookmarkStart w:id="1888" w:name="_Toc40215320"/>
      <w:bookmarkStart w:id="1889" w:name="_Toc40247272"/>
      <w:bookmarkStart w:id="1890" w:name="_Toc40248143"/>
      <w:bookmarkStart w:id="1891" w:name="_Toc40248670"/>
      <w:bookmarkStart w:id="1892" w:name="_Toc40249790"/>
      <w:bookmarkStart w:id="1893" w:name="_Toc40251558"/>
      <w:bookmarkStart w:id="1894" w:name="_Toc40256668"/>
      <w:bookmarkStart w:id="1895" w:name="_Toc40215321"/>
      <w:bookmarkStart w:id="1896" w:name="_Toc40247273"/>
      <w:bookmarkStart w:id="1897" w:name="_Toc40248144"/>
      <w:bookmarkStart w:id="1898" w:name="_Toc40248671"/>
      <w:bookmarkStart w:id="1899" w:name="_Toc40249791"/>
      <w:bookmarkStart w:id="1900" w:name="_Toc40251559"/>
      <w:bookmarkStart w:id="1901" w:name="_Toc40256669"/>
      <w:bookmarkStart w:id="1902" w:name="_Toc40215322"/>
      <w:bookmarkStart w:id="1903" w:name="_Toc40247274"/>
      <w:bookmarkStart w:id="1904" w:name="_Toc40248145"/>
      <w:bookmarkStart w:id="1905" w:name="_Toc40248672"/>
      <w:bookmarkStart w:id="1906" w:name="_Toc40249792"/>
      <w:bookmarkStart w:id="1907" w:name="_Toc40251560"/>
      <w:bookmarkStart w:id="1908" w:name="_Toc40256670"/>
      <w:bookmarkStart w:id="1909" w:name="_Toc40215323"/>
      <w:bookmarkStart w:id="1910" w:name="_Toc40247275"/>
      <w:bookmarkStart w:id="1911" w:name="_Toc40248146"/>
      <w:bookmarkStart w:id="1912" w:name="_Toc40248673"/>
      <w:bookmarkStart w:id="1913" w:name="_Toc40249793"/>
      <w:bookmarkStart w:id="1914" w:name="_Toc40251561"/>
      <w:bookmarkStart w:id="1915" w:name="_Toc40256671"/>
      <w:bookmarkStart w:id="1916" w:name="_Toc40215324"/>
      <w:bookmarkStart w:id="1917" w:name="_Toc40247276"/>
      <w:bookmarkStart w:id="1918" w:name="_Toc40248147"/>
      <w:bookmarkStart w:id="1919" w:name="_Toc40248674"/>
      <w:bookmarkStart w:id="1920" w:name="_Toc40249794"/>
      <w:bookmarkStart w:id="1921" w:name="_Toc40251562"/>
      <w:bookmarkStart w:id="1922" w:name="_Toc40256672"/>
      <w:bookmarkStart w:id="1923" w:name="_Toc40215325"/>
      <w:bookmarkStart w:id="1924" w:name="_Toc40247277"/>
      <w:bookmarkStart w:id="1925" w:name="_Toc40248148"/>
      <w:bookmarkStart w:id="1926" w:name="_Toc40248675"/>
      <w:bookmarkStart w:id="1927" w:name="_Toc40249795"/>
      <w:bookmarkStart w:id="1928" w:name="_Toc40251563"/>
      <w:bookmarkStart w:id="1929" w:name="_Toc40256673"/>
      <w:bookmarkStart w:id="1930" w:name="_Toc40186396"/>
      <w:bookmarkStart w:id="1931" w:name="_Toc40186805"/>
      <w:bookmarkStart w:id="1932" w:name="_Toc40215326"/>
      <w:bookmarkStart w:id="1933" w:name="_Toc40247278"/>
      <w:bookmarkStart w:id="1934" w:name="_Toc40248149"/>
      <w:bookmarkStart w:id="1935" w:name="_Toc40248676"/>
      <w:bookmarkStart w:id="1936" w:name="_Toc40249796"/>
      <w:bookmarkStart w:id="1937" w:name="_Toc40251564"/>
      <w:bookmarkStart w:id="1938" w:name="_Toc40256674"/>
      <w:bookmarkStart w:id="1939" w:name="_Toc40247279"/>
      <w:bookmarkStart w:id="1940" w:name="_Toc40248150"/>
      <w:bookmarkStart w:id="1941" w:name="_Toc40248677"/>
      <w:bookmarkStart w:id="1942" w:name="_Toc40249797"/>
      <w:bookmarkStart w:id="1943" w:name="_Toc40251565"/>
      <w:bookmarkStart w:id="1944" w:name="_Toc40256675"/>
      <w:bookmarkStart w:id="1945" w:name="_Toc40247280"/>
      <w:bookmarkStart w:id="1946" w:name="_Toc40248151"/>
      <w:bookmarkStart w:id="1947" w:name="_Toc40248678"/>
      <w:bookmarkStart w:id="1948" w:name="_Toc40249798"/>
      <w:bookmarkStart w:id="1949" w:name="_Toc40251566"/>
      <w:bookmarkStart w:id="1950" w:name="_Toc40256676"/>
      <w:bookmarkStart w:id="1951" w:name="_Toc40247281"/>
      <w:bookmarkStart w:id="1952" w:name="_Toc40248152"/>
      <w:bookmarkStart w:id="1953" w:name="_Toc40248679"/>
      <w:bookmarkStart w:id="1954" w:name="_Toc40249799"/>
      <w:bookmarkStart w:id="1955" w:name="_Toc40251567"/>
      <w:bookmarkStart w:id="1956" w:name="_Toc40256677"/>
      <w:bookmarkStart w:id="1957" w:name="_Toc40247282"/>
      <w:bookmarkStart w:id="1958" w:name="_Toc40248153"/>
      <w:bookmarkStart w:id="1959" w:name="_Toc40248680"/>
      <w:bookmarkStart w:id="1960" w:name="_Toc40249800"/>
      <w:bookmarkStart w:id="1961" w:name="_Toc40251568"/>
      <w:bookmarkStart w:id="1962" w:name="_Toc40256678"/>
      <w:bookmarkStart w:id="1963" w:name="_Toc40247283"/>
      <w:bookmarkStart w:id="1964" w:name="_Toc40248154"/>
      <w:bookmarkStart w:id="1965" w:name="_Toc40248681"/>
      <w:bookmarkStart w:id="1966" w:name="_Toc40249801"/>
      <w:bookmarkStart w:id="1967" w:name="_Toc40251569"/>
      <w:bookmarkStart w:id="1968" w:name="_Toc40256679"/>
      <w:bookmarkStart w:id="1969" w:name="_Toc40247284"/>
      <w:bookmarkStart w:id="1970" w:name="_Toc40248155"/>
      <w:bookmarkStart w:id="1971" w:name="_Toc40248682"/>
      <w:bookmarkStart w:id="1972" w:name="_Toc40249802"/>
      <w:bookmarkStart w:id="1973" w:name="_Toc40251570"/>
      <w:bookmarkStart w:id="1974" w:name="_Toc40256680"/>
      <w:bookmarkStart w:id="1975" w:name="_Toc40247285"/>
      <w:bookmarkStart w:id="1976" w:name="_Toc40248156"/>
      <w:bookmarkStart w:id="1977" w:name="_Toc40248683"/>
      <w:bookmarkStart w:id="1978" w:name="_Toc40249803"/>
      <w:bookmarkStart w:id="1979" w:name="_Toc40251571"/>
      <w:bookmarkStart w:id="1980" w:name="_Toc40256681"/>
      <w:bookmarkStart w:id="1981" w:name="_Toc40247286"/>
      <w:bookmarkStart w:id="1982" w:name="_Toc40248157"/>
      <w:bookmarkStart w:id="1983" w:name="_Toc40248684"/>
      <w:bookmarkStart w:id="1984" w:name="_Toc40249804"/>
      <w:bookmarkStart w:id="1985" w:name="_Toc40251572"/>
      <w:bookmarkStart w:id="1986" w:name="_Toc40256682"/>
      <w:bookmarkStart w:id="1987" w:name="_Toc40247287"/>
      <w:bookmarkStart w:id="1988" w:name="_Toc40248158"/>
      <w:bookmarkStart w:id="1989" w:name="_Toc40248685"/>
      <w:bookmarkStart w:id="1990" w:name="_Toc40249805"/>
      <w:bookmarkStart w:id="1991" w:name="_Toc40251573"/>
      <w:bookmarkStart w:id="1992" w:name="_Toc40256683"/>
      <w:bookmarkStart w:id="1993" w:name="_Toc40247288"/>
      <w:bookmarkStart w:id="1994" w:name="_Toc40248159"/>
      <w:bookmarkStart w:id="1995" w:name="_Toc40248686"/>
      <w:bookmarkStart w:id="1996" w:name="_Toc40249806"/>
      <w:bookmarkStart w:id="1997" w:name="_Toc40251574"/>
      <w:bookmarkStart w:id="1998" w:name="_Toc40256684"/>
      <w:bookmarkStart w:id="1999" w:name="_Toc40247289"/>
      <w:bookmarkStart w:id="2000" w:name="_Toc40248160"/>
      <w:bookmarkStart w:id="2001" w:name="_Toc40248687"/>
      <w:bookmarkStart w:id="2002" w:name="_Toc40249807"/>
      <w:bookmarkStart w:id="2003" w:name="_Toc40251575"/>
      <w:bookmarkStart w:id="2004" w:name="_Toc40256685"/>
      <w:bookmarkStart w:id="2005" w:name="_Toc40247290"/>
      <w:bookmarkStart w:id="2006" w:name="_Toc40248161"/>
      <w:bookmarkStart w:id="2007" w:name="_Toc40248688"/>
      <w:bookmarkStart w:id="2008" w:name="_Toc40249808"/>
      <w:bookmarkStart w:id="2009" w:name="_Toc40251576"/>
      <w:bookmarkStart w:id="2010" w:name="_Toc40256686"/>
      <w:bookmarkStart w:id="2011" w:name="_Toc40186398"/>
      <w:bookmarkStart w:id="2012" w:name="_Toc40186807"/>
      <w:bookmarkStart w:id="2013" w:name="_Toc40215328"/>
      <w:bookmarkStart w:id="2014" w:name="_Toc40216031"/>
      <w:bookmarkStart w:id="2015" w:name="_Toc40186404"/>
      <w:bookmarkStart w:id="2016" w:name="_Toc40186813"/>
      <w:bookmarkStart w:id="2017" w:name="_Toc40215334"/>
      <w:bookmarkStart w:id="2018" w:name="_Toc40216037"/>
      <w:bookmarkStart w:id="2019" w:name="_Toc40186405"/>
      <w:bookmarkStart w:id="2020" w:name="_Toc40186814"/>
      <w:bookmarkStart w:id="2021" w:name="_Toc40215335"/>
      <w:bookmarkStart w:id="2022" w:name="_Toc40216038"/>
      <w:bookmarkStart w:id="2023" w:name="_Toc41325354"/>
      <w:bookmarkStart w:id="2024" w:name="_Toc41332804"/>
      <w:bookmarkStart w:id="2025" w:name="_Toc41411944"/>
      <w:bookmarkStart w:id="2026" w:name="_Toc4165195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r>
        <w:t>Mental health system</w:t>
      </w:r>
      <w:r w:rsidR="00001179">
        <w:t xml:space="preserve"> oversight</w:t>
      </w:r>
      <w:bookmarkEnd w:id="2023"/>
      <w:bookmarkEnd w:id="2024"/>
      <w:bookmarkEnd w:id="2025"/>
      <w:bookmarkEnd w:id="2026"/>
    </w:p>
    <w:p w14:paraId="0A06C463" w14:textId="06FE88B8" w:rsidR="00001179" w:rsidRPr="00B108FC" w:rsidRDefault="00146138">
      <w:pPr>
        <w:pStyle w:val="Heading2"/>
      </w:pPr>
      <w:bookmarkStart w:id="2027" w:name="_Toc41651960"/>
      <w:r>
        <w:t>Reforming c</w:t>
      </w:r>
      <w:r w:rsidR="00E86022">
        <w:t>ompulsory mental health treatment</w:t>
      </w:r>
      <w:bookmarkEnd w:id="2027"/>
    </w:p>
    <w:p w14:paraId="3115B5C8" w14:textId="03F7FAD1" w:rsidR="00705C04" w:rsidRDefault="00705C04" w:rsidP="00705C04">
      <w:pPr>
        <w:rPr>
          <w:lang w:eastAsia="en-AU"/>
        </w:rPr>
      </w:pPr>
      <w:bookmarkStart w:id="2028" w:name="_Toc40215656"/>
      <w:bookmarkStart w:id="2029" w:name="_Toc40216359"/>
      <w:bookmarkStart w:id="2030" w:name="_Toc40216976"/>
      <w:bookmarkStart w:id="2031" w:name="_Toc40217598"/>
      <w:bookmarkStart w:id="2032" w:name="_Toc40218219"/>
      <w:bookmarkStart w:id="2033" w:name="_Toc40246042"/>
      <w:bookmarkStart w:id="2034" w:name="_Toc40246698"/>
      <w:bookmarkStart w:id="2035" w:name="_Toc40247611"/>
      <w:bookmarkStart w:id="2036" w:name="_Toc40215657"/>
      <w:bookmarkStart w:id="2037" w:name="_Toc40216360"/>
      <w:bookmarkStart w:id="2038" w:name="_Toc40216977"/>
      <w:bookmarkStart w:id="2039" w:name="_Toc40217599"/>
      <w:bookmarkStart w:id="2040" w:name="_Toc40218220"/>
      <w:bookmarkStart w:id="2041" w:name="_Toc40246043"/>
      <w:bookmarkStart w:id="2042" w:name="_Toc40246699"/>
      <w:bookmarkStart w:id="2043" w:name="_Toc40247612"/>
      <w:bookmarkStart w:id="2044" w:name="_Toc40215658"/>
      <w:bookmarkStart w:id="2045" w:name="_Toc40216361"/>
      <w:bookmarkStart w:id="2046" w:name="_Toc40216978"/>
      <w:bookmarkStart w:id="2047" w:name="_Toc40217600"/>
      <w:bookmarkStart w:id="2048" w:name="_Toc40218221"/>
      <w:bookmarkStart w:id="2049" w:name="_Toc40246044"/>
      <w:bookmarkStart w:id="2050" w:name="_Toc40246700"/>
      <w:bookmarkStart w:id="2051" w:name="_Toc40247613"/>
      <w:bookmarkStart w:id="2052" w:name="_Toc40215659"/>
      <w:bookmarkStart w:id="2053" w:name="_Toc40216362"/>
      <w:bookmarkStart w:id="2054" w:name="_Toc40216979"/>
      <w:bookmarkStart w:id="2055" w:name="_Toc40217601"/>
      <w:bookmarkStart w:id="2056" w:name="_Toc40218222"/>
      <w:bookmarkStart w:id="2057" w:name="_Toc40246045"/>
      <w:bookmarkStart w:id="2058" w:name="_Toc40246701"/>
      <w:bookmarkStart w:id="2059" w:name="_Toc40247614"/>
      <w:bookmarkStart w:id="2060" w:name="_Toc40215660"/>
      <w:bookmarkStart w:id="2061" w:name="_Toc40216363"/>
      <w:bookmarkStart w:id="2062" w:name="_Toc40216980"/>
      <w:bookmarkStart w:id="2063" w:name="_Toc40217602"/>
      <w:bookmarkStart w:id="2064" w:name="_Toc40218223"/>
      <w:bookmarkStart w:id="2065" w:name="_Toc40246046"/>
      <w:bookmarkStart w:id="2066" w:name="_Toc40246702"/>
      <w:bookmarkStart w:id="2067" w:name="_Toc40247615"/>
      <w:bookmarkStart w:id="2068" w:name="_Toc40215661"/>
      <w:bookmarkStart w:id="2069" w:name="_Toc40216364"/>
      <w:bookmarkStart w:id="2070" w:name="_Toc40216981"/>
      <w:bookmarkStart w:id="2071" w:name="_Toc40217603"/>
      <w:bookmarkStart w:id="2072" w:name="_Toc40218224"/>
      <w:bookmarkStart w:id="2073" w:name="_Toc40246047"/>
      <w:bookmarkStart w:id="2074" w:name="_Toc40246703"/>
      <w:bookmarkStart w:id="2075" w:name="_Toc40247616"/>
      <w:bookmarkStart w:id="2076" w:name="_Toc40215662"/>
      <w:bookmarkStart w:id="2077" w:name="_Toc40216365"/>
      <w:bookmarkStart w:id="2078" w:name="_Toc40216982"/>
      <w:bookmarkStart w:id="2079" w:name="_Toc40217604"/>
      <w:bookmarkStart w:id="2080" w:name="_Toc40218225"/>
      <w:bookmarkStart w:id="2081" w:name="_Toc40246048"/>
      <w:bookmarkStart w:id="2082" w:name="_Toc40246704"/>
      <w:bookmarkStart w:id="2083" w:name="_Toc40247617"/>
      <w:bookmarkStart w:id="2084" w:name="_Toc40215663"/>
      <w:bookmarkStart w:id="2085" w:name="_Toc40216366"/>
      <w:bookmarkStart w:id="2086" w:name="_Toc40216983"/>
      <w:bookmarkStart w:id="2087" w:name="_Toc40217605"/>
      <w:bookmarkStart w:id="2088" w:name="_Toc40218226"/>
      <w:bookmarkStart w:id="2089" w:name="_Toc40246049"/>
      <w:bookmarkStart w:id="2090" w:name="_Toc40246705"/>
      <w:bookmarkStart w:id="2091" w:name="_Toc40247618"/>
      <w:bookmarkStart w:id="2092" w:name="_Toc40215664"/>
      <w:bookmarkStart w:id="2093" w:name="_Toc40216367"/>
      <w:bookmarkStart w:id="2094" w:name="_Toc40216984"/>
      <w:bookmarkStart w:id="2095" w:name="_Toc40217606"/>
      <w:bookmarkStart w:id="2096" w:name="_Toc40218227"/>
      <w:bookmarkStart w:id="2097" w:name="_Toc40246050"/>
      <w:bookmarkStart w:id="2098" w:name="_Toc40246706"/>
      <w:bookmarkStart w:id="2099" w:name="_Toc40247619"/>
      <w:bookmarkStart w:id="2100" w:name="_Toc40215665"/>
      <w:bookmarkStart w:id="2101" w:name="_Toc40216368"/>
      <w:bookmarkStart w:id="2102" w:name="_Toc40216985"/>
      <w:bookmarkStart w:id="2103" w:name="_Toc40217607"/>
      <w:bookmarkStart w:id="2104" w:name="_Toc40218228"/>
      <w:bookmarkStart w:id="2105" w:name="_Toc40246051"/>
      <w:bookmarkStart w:id="2106" w:name="_Toc40246707"/>
      <w:bookmarkStart w:id="2107" w:name="_Toc40247620"/>
      <w:bookmarkStart w:id="2108" w:name="_Toc40215666"/>
      <w:bookmarkStart w:id="2109" w:name="_Toc40216369"/>
      <w:bookmarkStart w:id="2110" w:name="_Toc40216986"/>
      <w:bookmarkStart w:id="2111" w:name="_Toc40217608"/>
      <w:bookmarkStart w:id="2112" w:name="_Toc40218229"/>
      <w:bookmarkStart w:id="2113" w:name="_Toc40246052"/>
      <w:bookmarkStart w:id="2114" w:name="_Toc40246708"/>
      <w:bookmarkStart w:id="2115" w:name="_Toc40247621"/>
      <w:bookmarkStart w:id="2116" w:name="_Toc40215667"/>
      <w:bookmarkStart w:id="2117" w:name="_Toc40216370"/>
      <w:bookmarkStart w:id="2118" w:name="_Toc40216987"/>
      <w:bookmarkStart w:id="2119" w:name="_Toc40217609"/>
      <w:bookmarkStart w:id="2120" w:name="_Toc40218230"/>
      <w:bookmarkStart w:id="2121" w:name="_Toc40246053"/>
      <w:bookmarkStart w:id="2122" w:name="_Toc40246709"/>
      <w:bookmarkStart w:id="2123" w:name="_Toc40247622"/>
      <w:bookmarkStart w:id="2124" w:name="_Toc40215668"/>
      <w:bookmarkStart w:id="2125" w:name="_Toc40216371"/>
      <w:bookmarkStart w:id="2126" w:name="_Toc40216988"/>
      <w:bookmarkStart w:id="2127" w:name="_Toc40217610"/>
      <w:bookmarkStart w:id="2128" w:name="_Toc40218231"/>
      <w:bookmarkStart w:id="2129" w:name="_Toc40246054"/>
      <w:bookmarkStart w:id="2130" w:name="_Toc40246710"/>
      <w:bookmarkStart w:id="2131" w:name="_Toc40247623"/>
      <w:bookmarkStart w:id="2132" w:name="_Toc40215669"/>
      <w:bookmarkStart w:id="2133" w:name="_Toc40216372"/>
      <w:bookmarkStart w:id="2134" w:name="_Toc40216989"/>
      <w:bookmarkStart w:id="2135" w:name="_Toc40217611"/>
      <w:bookmarkStart w:id="2136" w:name="_Toc40218232"/>
      <w:bookmarkStart w:id="2137" w:name="_Toc40246055"/>
      <w:bookmarkStart w:id="2138" w:name="_Toc40246711"/>
      <w:bookmarkStart w:id="2139" w:name="_Toc40247624"/>
      <w:bookmarkStart w:id="2140" w:name="_Toc40215670"/>
      <w:bookmarkStart w:id="2141" w:name="_Toc40216373"/>
      <w:bookmarkStart w:id="2142" w:name="_Toc40216990"/>
      <w:bookmarkStart w:id="2143" w:name="_Toc40217612"/>
      <w:bookmarkStart w:id="2144" w:name="_Toc40218233"/>
      <w:bookmarkStart w:id="2145" w:name="_Toc40246056"/>
      <w:bookmarkStart w:id="2146" w:name="_Toc40246712"/>
      <w:bookmarkStart w:id="2147" w:name="_Toc40247625"/>
      <w:bookmarkStart w:id="2148" w:name="_Toc40215671"/>
      <w:bookmarkStart w:id="2149" w:name="_Toc40216374"/>
      <w:bookmarkStart w:id="2150" w:name="_Toc40216991"/>
      <w:bookmarkStart w:id="2151" w:name="_Toc40217613"/>
      <w:bookmarkStart w:id="2152" w:name="_Toc40218234"/>
      <w:bookmarkStart w:id="2153" w:name="_Toc40246057"/>
      <w:bookmarkStart w:id="2154" w:name="_Toc40246713"/>
      <w:bookmarkStart w:id="2155" w:name="_Toc40247626"/>
      <w:bookmarkStart w:id="2156" w:name="_Toc40215672"/>
      <w:bookmarkStart w:id="2157" w:name="_Toc40216375"/>
      <w:bookmarkStart w:id="2158" w:name="_Toc40216992"/>
      <w:bookmarkStart w:id="2159" w:name="_Toc40217614"/>
      <w:bookmarkStart w:id="2160" w:name="_Toc40218235"/>
      <w:bookmarkStart w:id="2161" w:name="_Toc40246058"/>
      <w:bookmarkStart w:id="2162" w:name="_Toc40246714"/>
      <w:bookmarkStart w:id="2163" w:name="_Toc40247627"/>
      <w:bookmarkStart w:id="2164" w:name="_Toc40215673"/>
      <w:bookmarkStart w:id="2165" w:name="_Toc40216376"/>
      <w:bookmarkStart w:id="2166" w:name="_Toc40216993"/>
      <w:bookmarkStart w:id="2167" w:name="_Toc40217615"/>
      <w:bookmarkStart w:id="2168" w:name="_Toc40218236"/>
      <w:bookmarkStart w:id="2169" w:name="_Toc40246059"/>
      <w:bookmarkStart w:id="2170" w:name="_Toc40246715"/>
      <w:bookmarkStart w:id="2171" w:name="_Toc40247628"/>
      <w:bookmarkStart w:id="2172" w:name="_Toc40215674"/>
      <w:bookmarkStart w:id="2173" w:name="_Toc40216377"/>
      <w:bookmarkStart w:id="2174" w:name="_Toc40216994"/>
      <w:bookmarkStart w:id="2175" w:name="_Toc40217616"/>
      <w:bookmarkStart w:id="2176" w:name="_Toc40218237"/>
      <w:bookmarkStart w:id="2177" w:name="_Toc40246060"/>
      <w:bookmarkStart w:id="2178" w:name="_Toc40246716"/>
      <w:bookmarkStart w:id="2179" w:name="_Toc40247629"/>
      <w:bookmarkStart w:id="2180" w:name="_Toc40215675"/>
      <w:bookmarkStart w:id="2181" w:name="_Toc40216378"/>
      <w:bookmarkStart w:id="2182" w:name="_Toc40216995"/>
      <w:bookmarkStart w:id="2183" w:name="_Toc40217617"/>
      <w:bookmarkStart w:id="2184" w:name="_Toc40218238"/>
      <w:bookmarkStart w:id="2185" w:name="_Toc40246061"/>
      <w:bookmarkStart w:id="2186" w:name="_Toc40246717"/>
      <w:bookmarkStart w:id="2187" w:name="_Toc40247630"/>
      <w:bookmarkStart w:id="2188" w:name="_Toc40215676"/>
      <w:bookmarkStart w:id="2189" w:name="_Toc40216379"/>
      <w:bookmarkStart w:id="2190" w:name="_Toc40216996"/>
      <w:bookmarkStart w:id="2191" w:name="_Toc40217618"/>
      <w:bookmarkStart w:id="2192" w:name="_Toc40218239"/>
      <w:bookmarkStart w:id="2193" w:name="_Toc40246062"/>
      <w:bookmarkStart w:id="2194" w:name="_Toc40246718"/>
      <w:bookmarkStart w:id="2195" w:name="_Toc40247631"/>
      <w:bookmarkStart w:id="2196" w:name="_Toc40215677"/>
      <w:bookmarkStart w:id="2197" w:name="_Toc40216380"/>
      <w:bookmarkStart w:id="2198" w:name="_Toc40216997"/>
      <w:bookmarkStart w:id="2199" w:name="_Toc40217619"/>
      <w:bookmarkStart w:id="2200" w:name="_Toc40218240"/>
      <w:bookmarkStart w:id="2201" w:name="_Toc40246063"/>
      <w:bookmarkStart w:id="2202" w:name="_Toc40246719"/>
      <w:bookmarkStart w:id="2203" w:name="_Toc40247632"/>
      <w:bookmarkStart w:id="2204" w:name="_Toc40215678"/>
      <w:bookmarkStart w:id="2205" w:name="_Toc40216381"/>
      <w:bookmarkStart w:id="2206" w:name="_Toc40216998"/>
      <w:bookmarkStart w:id="2207" w:name="_Toc40217620"/>
      <w:bookmarkStart w:id="2208" w:name="_Toc40218241"/>
      <w:bookmarkStart w:id="2209" w:name="_Toc40246064"/>
      <w:bookmarkStart w:id="2210" w:name="_Toc40246720"/>
      <w:bookmarkStart w:id="2211" w:name="_Toc40247633"/>
      <w:bookmarkStart w:id="2212" w:name="_Toc40215679"/>
      <w:bookmarkStart w:id="2213" w:name="_Toc40216382"/>
      <w:bookmarkStart w:id="2214" w:name="_Toc40216999"/>
      <w:bookmarkStart w:id="2215" w:name="_Toc40217621"/>
      <w:bookmarkStart w:id="2216" w:name="_Toc40218242"/>
      <w:bookmarkStart w:id="2217" w:name="_Toc40246065"/>
      <w:bookmarkStart w:id="2218" w:name="_Toc40246721"/>
      <w:bookmarkStart w:id="2219" w:name="_Toc40247634"/>
      <w:bookmarkStart w:id="2220" w:name="_Toc40215680"/>
      <w:bookmarkStart w:id="2221" w:name="_Toc40216383"/>
      <w:bookmarkStart w:id="2222" w:name="_Toc40217000"/>
      <w:bookmarkStart w:id="2223" w:name="_Toc40217622"/>
      <w:bookmarkStart w:id="2224" w:name="_Toc40218243"/>
      <w:bookmarkStart w:id="2225" w:name="_Toc40246066"/>
      <w:bookmarkStart w:id="2226" w:name="_Toc40246722"/>
      <w:bookmarkStart w:id="2227" w:name="_Toc40247635"/>
      <w:bookmarkStart w:id="2228" w:name="_Toc40215681"/>
      <w:bookmarkStart w:id="2229" w:name="_Toc40216384"/>
      <w:bookmarkStart w:id="2230" w:name="_Toc40217001"/>
      <w:bookmarkStart w:id="2231" w:name="_Toc40217623"/>
      <w:bookmarkStart w:id="2232" w:name="_Toc40218244"/>
      <w:bookmarkStart w:id="2233" w:name="_Toc40246067"/>
      <w:bookmarkStart w:id="2234" w:name="_Toc40246723"/>
      <w:bookmarkStart w:id="2235" w:name="_Toc40247636"/>
      <w:bookmarkStart w:id="2236" w:name="_Toc40215682"/>
      <w:bookmarkStart w:id="2237" w:name="_Toc40216385"/>
      <w:bookmarkStart w:id="2238" w:name="_Toc40217002"/>
      <w:bookmarkStart w:id="2239" w:name="_Toc40217624"/>
      <w:bookmarkStart w:id="2240" w:name="_Toc40218245"/>
      <w:bookmarkStart w:id="2241" w:name="_Toc40246068"/>
      <w:bookmarkStart w:id="2242" w:name="_Toc40246724"/>
      <w:bookmarkStart w:id="2243" w:name="_Toc40247637"/>
      <w:bookmarkStart w:id="2244" w:name="_Toc40215683"/>
      <w:bookmarkStart w:id="2245" w:name="_Toc40216386"/>
      <w:bookmarkStart w:id="2246" w:name="_Toc40217003"/>
      <w:bookmarkStart w:id="2247" w:name="_Toc40217625"/>
      <w:bookmarkStart w:id="2248" w:name="_Toc40218246"/>
      <w:bookmarkStart w:id="2249" w:name="_Toc40246069"/>
      <w:bookmarkStart w:id="2250" w:name="_Toc40246725"/>
      <w:bookmarkStart w:id="2251" w:name="_Toc40247638"/>
      <w:bookmarkStart w:id="2252" w:name="_Toc40215684"/>
      <w:bookmarkStart w:id="2253" w:name="_Toc40216387"/>
      <w:bookmarkStart w:id="2254" w:name="_Toc40217004"/>
      <w:bookmarkStart w:id="2255" w:name="_Toc40217626"/>
      <w:bookmarkStart w:id="2256" w:name="_Toc40218247"/>
      <w:bookmarkStart w:id="2257" w:name="_Toc40246070"/>
      <w:bookmarkStart w:id="2258" w:name="_Toc40246726"/>
      <w:bookmarkStart w:id="2259" w:name="_Toc40247639"/>
      <w:bookmarkStart w:id="2260" w:name="_Toc40215685"/>
      <w:bookmarkStart w:id="2261" w:name="_Toc40216388"/>
      <w:bookmarkStart w:id="2262" w:name="_Toc40217005"/>
      <w:bookmarkStart w:id="2263" w:name="_Toc40217627"/>
      <w:bookmarkStart w:id="2264" w:name="_Toc40218248"/>
      <w:bookmarkStart w:id="2265" w:name="_Toc40246071"/>
      <w:bookmarkStart w:id="2266" w:name="_Toc40246727"/>
      <w:bookmarkStart w:id="2267" w:name="_Toc40247640"/>
      <w:bookmarkStart w:id="2268" w:name="_Toc40215686"/>
      <w:bookmarkStart w:id="2269" w:name="_Toc40216389"/>
      <w:bookmarkStart w:id="2270" w:name="_Toc40217006"/>
      <w:bookmarkStart w:id="2271" w:name="_Toc40217628"/>
      <w:bookmarkStart w:id="2272" w:name="_Toc40218249"/>
      <w:bookmarkStart w:id="2273" w:name="_Toc40246072"/>
      <w:bookmarkStart w:id="2274" w:name="_Toc40246728"/>
      <w:bookmarkStart w:id="2275" w:name="_Toc40247641"/>
      <w:bookmarkStart w:id="2276" w:name="_Toc40215687"/>
      <w:bookmarkStart w:id="2277" w:name="_Toc40216390"/>
      <w:bookmarkStart w:id="2278" w:name="_Toc40217007"/>
      <w:bookmarkStart w:id="2279" w:name="_Toc40217629"/>
      <w:bookmarkStart w:id="2280" w:name="_Toc40218250"/>
      <w:bookmarkStart w:id="2281" w:name="_Toc40246073"/>
      <w:bookmarkStart w:id="2282" w:name="_Toc40246729"/>
      <w:bookmarkStart w:id="2283" w:name="_Toc40247642"/>
      <w:bookmarkStart w:id="2284" w:name="_Toc40215688"/>
      <w:bookmarkStart w:id="2285" w:name="_Toc40216391"/>
      <w:bookmarkStart w:id="2286" w:name="_Toc40217008"/>
      <w:bookmarkStart w:id="2287" w:name="_Toc40217630"/>
      <w:bookmarkStart w:id="2288" w:name="_Toc40218251"/>
      <w:bookmarkStart w:id="2289" w:name="_Toc40246074"/>
      <w:bookmarkStart w:id="2290" w:name="_Toc40246730"/>
      <w:bookmarkStart w:id="2291" w:name="_Toc40247643"/>
      <w:bookmarkStart w:id="2292" w:name="_Toc40215689"/>
      <w:bookmarkStart w:id="2293" w:name="_Toc40216392"/>
      <w:bookmarkStart w:id="2294" w:name="_Toc40217009"/>
      <w:bookmarkStart w:id="2295" w:name="_Toc40217631"/>
      <w:bookmarkStart w:id="2296" w:name="_Toc40218252"/>
      <w:bookmarkStart w:id="2297" w:name="_Toc40246075"/>
      <w:bookmarkStart w:id="2298" w:name="_Toc40246731"/>
      <w:bookmarkStart w:id="2299" w:name="_Toc40247644"/>
      <w:bookmarkStart w:id="2300" w:name="_Toc40215690"/>
      <w:bookmarkStart w:id="2301" w:name="_Toc40216393"/>
      <w:bookmarkStart w:id="2302" w:name="_Toc40217010"/>
      <w:bookmarkStart w:id="2303" w:name="_Toc40217632"/>
      <w:bookmarkStart w:id="2304" w:name="_Toc40218253"/>
      <w:bookmarkStart w:id="2305" w:name="_Toc40246076"/>
      <w:bookmarkStart w:id="2306" w:name="_Toc40246732"/>
      <w:bookmarkStart w:id="2307" w:name="_Toc40247645"/>
      <w:bookmarkStart w:id="2308" w:name="_Toc40215691"/>
      <w:bookmarkStart w:id="2309" w:name="_Toc40216394"/>
      <w:bookmarkStart w:id="2310" w:name="_Toc40217011"/>
      <w:bookmarkStart w:id="2311" w:name="_Toc40217633"/>
      <w:bookmarkStart w:id="2312" w:name="_Toc40218254"/>
      <w:bookmarkStart w:id="2313" w:name="_Toc40246077"/>
      <w:bookmarkStart w:id="2314" w:name="_Toc40246733"/>
      <w:bookmarkStart w:id="2315" w:name="_Toc40247646"/>
      <w:bookmarkStart w:id="2316" w:name="_Toc40215692"/>
      <w:bookmarkStart w:id="2317" w:name="_Toc40216395"/>
      <w:bookmarkStart w:id="2318" w:name="_Toc40217012"/>
      <w:bookmarkStart w:id="2319" w:name="_Toc40217634"/>
      <w:bookmarkStart w:id="2320" w:name="_Toc40218255"/>
      <w:bookmarkStart w:id="2321" w:name="_Toc40246078"/>
      <w:bookmarkStart w:id="2322" w:name="_Toc40246734"/>
      <w:bookmarkStart w:id="2323" w:name="_Toc4024764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r>
        <w:rPr>
          <w:lang w:eastAsia="en-AU"/>
        </w:rPr>
        <w:t xml:space="preserve">Detaining a person in a mental health facility </w:t>
      </w:r>
      <w:r w:rsidR="7B4E5DD5" w:rsidRPr="471FC985">
        <w:rPr>
          <w:lang w:eastAsia="en-AU"/>
        </w:rPr>
        <w:t>and performing treatment</w:t>
      </w:r>
      <w:r w:rsidRPr="471FC985">
        <w:rPr>
          <w:lang w:eastAsia="en-AU"/>
        </w:rPr>
        <w:t xml:space="preserve"> </w:t>
      </w:r>
      <w:r>
        <w:rPr>
          <w:lang w:eastAsia="en-AU"/>
        </w:rPr>
        <w:t xml:space="preserve">without </w:t>
      </w:r>
      <w:r w:rsidR="00B918A9">
        <w:rPr>
          <w:lang w:eastAsia="en-AU"/>
        </w:rPr>
        <w:t>their</w:t>
      </w:r>
      <w:r>
        <w:rPr>
          <w:lang w:eastAsia="en-AU"/>
        </w:rPr>
        <w:t xml:space="preserve"> consent is a significant intrusion on a person’s rights to autonomy, freedom of movement and self-determination. These serious decisions to override a person’s views and wishes about their own treatment for their mental health issues should only be authorised where </w:t>
      </w:r>
      <w:proofErr w:type="gramStart"/>
      <w:r>
        <w:rPr>
          <w:lang w:eastAsia="en-AU"/>
        </w:rPr>
        <w:t>absolutely necessary</w:t>
      </w:r>
      <w:proofErr w:type="gramEnd"/>
      <w:r>
        <w:rPr>
          <w:lang w:eastAsia="en-AU"/>
        </w:rPr>
        <w:t>, and as a last resort.</w:t>
      </w:r>
    </w:p>
    <w:p w14:paraId="285ACC4F" w14:textId="61A16BAA" w:rsidR="00CA0F0F" w:rsidRPr="009F5459" w:rsidRDefault="00001179" w:rsidP="00CA0F0F">
      <w:pPr>
        <w:rPr>
          <w:lang w:eastAsia="en-AU"/>
        </w:rPr>
      </w:pPr>
      <w:r>
        <w:rPr>
          <w:lang w:eastAsia="en-AU"/>
        </w:rPr>
        <w:t xml:space="preserve">Victoria </w:t>
      </w:r>
      <w:r w:rsidR="00310BED">
        <w:rPr>
          <w:lang w:eastAsia="en-AU"/>
        </w:rPr>
        <w:t xml:space="preserve">continues to </w:t>
      </w:r>
      <w:r>
        <w:rPr>
          <w:lang w:eastAsia="en-AU"/>
        </w:rPr>
        <w:t>ha</w:t>
      </w:r>
      <w:r w:rsidR="00310BED">
        <w:rPr>
          <w:lang w:eastAsia="en-AU"/>
        </w:rPr>
        <w:t>ve</w:t>
      </w:r>
      <w:r>
        <w:rPr>
          <w:lang w:eastAsia="en-AU"/>
        </w:rPr>
        <w:t xml:space="preserve"> some of the highest rates of</w:t>
      </w:r>
      <w:r w:rsidR="00D4782E">
        <w:rPr>
          <w:lang w:eastAsia="en-AU"/>
        </w:rPr>
        <w:t xml:space="preserve"> compulsory treatment</w:t>
      </w:r>
      <w:r>
        <w:rPr>
          <w:lang w:eastAsia="en-AU"/>
        </w:rPr>
        <w:t xml:space="preserve"> in Australia.</w:t>
      </w:r>
      <w:r>
        <w:rPr>
          <w:rStyle w:val="FootnoteReference"/>
          <w:lang w:eastAsia="en-AU"/>
        </w:rPr>
        <w:footnoteReference w:id="72"/>
      </w:r>
      <w:r>
        <w:rPr>
          <w:lang w:eastAsia="en-AU"/>
        </w:rPr>
        <w:t xml:space="preserve"> </w:t>
      </w:r>
      <w:r w:rsidR="00B317C3" w:rsidDel="009E1A63">
        <w:rPr>
          <w:lang w:eastAsia="en-AU"/>
        </w:rPr>
        <w:t xml:space="preserve">Here we set out </w:t>
      </w:r>
      <w:r w:rsidR="009E1A63">
        <w:rPr>
          <w:lang w:eastAsia="en-AU"/>
        </w:rPr>
        <w:t xml:space="preserve">some key mechanisms for reducing the use of compulsory treatment </w:t>
      </w:r>
      <w:r w:rsidR="009811A0">
        <w:rPr>
          <w:lang w:eastAsia="en-AU"/>
        </w:rPr>
        <w:t xml:space="preserve">and improving </w:t>
      </w:r>
      <w:r w:rsidR="00833B2B">
        <w:rPr>
          <w:lang w:eastAsia="en-AU"/>
        </w:rPr>
        <w:t xml:space="preserve">how decisions are made under the Mental Health Act. </w:t>
      </w:r>
      <w:r w:rsidR="00CA0F0F" w:rsidRPr="00B00BD6">
        <w:rPr>
          <w:lang w:eastAsia="en-AU"/>
        </w:rPr>
        <w:t>To</w:t>
      </w:r>
      <w:r w:rsidR="00CA0F0F">
        <w:rPr>
          <w:lang w:eastAsia="en-AU"/>
        </w:rPr>
        <w:t xml:space="preserve"> improve alignment</w:t>
      </w:r>
      <w:r w:rsidR="00CA0F0F" w:rsidRPr="00B00BD6">
        <w:rPr>
          <w:lang w:eastAsia="en-AU"/>
        </w:rPr>
        <w:t xml:space="preserve"> with the </w:t>
      </w:r>
      <w:r w:rsidR="00CA0F0F">
        <w:t>Convention on the Rights of People with Disabilitie</w:t>
      </w:r>
      <w:r w:rsidR="00CA0F0F" w:rsidRPr="00CD3398">
        <w:t>s (</w:t>
      </w:r>
      <w:r w:rsidR="00CA0F0F" w:rsidRPr="00CD3398">
        <w:rPr>
          <w:b/>
          <w:bCs/>
        </w:rPr>
        <w:t>CR</w:t>
      </w:r>
      <w:r w:rsidR="004A7139">
        <w:rPr>
          <w:b/>
          <w:bCs/>
        </w:rPr>
        <w:t>P</w:t>
      </w:r>
      <w:r w:rsidR="00CA0F0F" w:rsidRPr="00CD3398">
        <w:rPr>
          <w:b/>
          <w:bCs/>
        </w:rPr>
        <w:t>D</w:t>
      </w:r>
      <w:r w:rsidR="00CA0F0F">
        <w:t xml:space="preserve">), </w:t>
      </w:r>
      <w:r w:rsidR="005811D7">
        <w:t xml:space="preserve">international best practice </w:t>
      </w:r>
      <w:r w:rsidR="00BA6E42">
        <w:t xml:space="preserve">and </w:t>
      </w:r>
      <w:r w:rsidR="005811D7">
        <w:t xml:space="preserve">current supported </w:t>
      </w:r>
      <w:r w:rsidR="00FC6A32">
        <w:t>and substituted</w:t>
      </w:r>
      <w:r w:rsidR="005811D7">
        <w:t xml:space="preserve"> decision-making </w:t>
      </w:r>
      <w:r w:rsidR="00CA0F0F">
        <w:rPr>
          <w:lang w:eastAsia="en-AU"/>
        </w:rPr>
        <w:t>laws</w:t>
      </w:r>
      <w:r w:rsidR="00CA0F0F" w:rsidRPr="00B00BD6">
        <w:rPr>
          <w:lang w:eastAsia="en-AU"/>
        </w:rPr>
        <w:t>,</w:t>
      </w:r>
      <w:r w:rsidR="00CA0F0F">
        <w:rPr>
          <w:lang w:eastAsia="en-AU"/>
        </w:rPr>
        <w:t xml:space="preserve"> </w:t>
      </w:r>
      <w:r w:rsidR="005811D7">
        <w:rPr>
          <w:lang w:eastAsia="en-AU"/>
        </w:rPr>
        <w:t>we make the following recommendations.</w:t>
      </w:r>
    </w:p>
    <w:p w14:paraId="559AADF3" w14:textId="14DC3BC0" w:rsidR="002168B7" w:rsidRPr="002168B7" w:rsidRDefault="002168B7" w:rsidP="002915D4">
      <w:pPr>
        <w:pStyle w:val="Heading3"/>
        <w:pageBreakBefore/>
      </w:pPr>
      <w:r w:rsidRPr="002168B7">
        <w:lastRenderedPageBreak/>
        <w:t>Allowing consumers with decision-making capacity to make their own treatment decisions</w:t>
      </w:r>
      <w:r w:rsidR="005E7ACE" w:rsidRPr="002168B7">
        <w:t xml:space="preserve"> </w:t>
      </w:r>
    </w:p>
    <w:p w14:paraId="4D0DD9A3" w14:textId="631A7D14" w:rsidR="00647833" w:rsidRPr="00647833" w:rsidRDefault="008906BC" w:rsidP="00647833">
      <w:pPr>
        <w:rPr>
          <w:lang w:eastAsia="en-AU"/>
        </w:rPr>
      </w:pPr>
      <w:r w:rsidRPr="004C3E15">
        <w:rPr>
          <w:lang w:eastAsia="en-AU"/>
        </w:rPr>
        <w:t>The Mental Health Act currently allows consumers who have</w:t>
      </w:r>
      <w:r w:rsidR="003956D1" w:rsidRPr="004C3E15">
        <w:rPr>
          <w:lang w:eastAsia="en-AU"/>
        </w:rPr>
        <w:t xml:space="preserve"> decision-making</w:t>
      </w:r>
      <w:r w:rsidR="00CB28FB" w:rsidRPr="004C3E15">
        <w:rPr>
          <w:lang w:eastAsia="en-AU"/>
        </w:rPr>
        <w:t xml:space="preserve"> capacity to refuse </w:t>
      </w:r>
      <w:r w:rsidR="7FB4C3F5" w:rsidRPr="104FE762">
        <w:rPr>
          <w:lang w:eastAsia="en-AU"/>
        </w:rPr>
        <w:t>e</w:t>
      </w:r>
      <w:r w:rsidR="003956D1" w:rsidRPr="004C3E15">
        <w:rPr>
          <w:lang w:eastAsia="en-AU"/>
        </w:rPr>
        <w:t xml:space="preserve">lectroconvulsive </w:t>
      </w:r>
      <w:r w:rsidR="43E10777" w:rsidRPr="104FE762">
        <w:rPr>
          <w:lang w:eastAsia="en-AU"/>
        </w:rPr>
        <w:t>t</w:t>
      </w:r>
      <w:r w:rsidR="003956D1" w:rsidRPr="004C3E15">
        <w:rPr>
          <w:lang w:eastAsia="en-AU"/>
        </w:rPr>
        <w:t>reatment (</w:t>
      </w:r>
      <w:r w:rsidR="00CB28FB" w:rsidRPr="004C3E15">
        <w:rPr>
          <w:b/>
          <w:bCs/>
          <w:lang w:eastAsia="en-AU"/>
        </w:rPr>
        <w:t>ECT</w:t>
      </w:r>
      <w:r w:rsidR="003956D1" w:rsidRPr="004C3E15">
        <w:rPr>
          <w:lang w:eastAsia="en-AU"/>
        </w:rPr>
        <w:t>)</w:t>
      </w:r>
      <w:r w:rsidR="00EE3924" w:rsidRPr="004C3E15">
        <w:rPr>
          <w:lang w:eastAsia="en-AU"/>
        </w:rPr>
        <w:t xml:space="preserve">. </w:t>
      </w:r>
      <w:r w:rsidR="005538A5" w:rsidRPr="004C3E15">
        <w:rPr>
          <w:lang w:eastAsia="en-AU"/>
        </w:rPr>
        <w:t>However</w:t>
      </w:r>
      <w:r w:rsidR="00A712FB">
        <w:rPr>
          <w:lang w:eastAsia="en-AU"/>
        </w:rPr>
        <w:t>,</w:t>
      </w:r>
      <w:r w:rsidR="005538A5" w:rsidRPr="004C3E15">
        <w:rPr>
          <w:lang w:eastAsia="en-AU"/>
        </w:rPr>
        <w:t xml:space="preserve"> the Mental Health Act does </w:t>
      </w:r>
      <w:r w:rsidR="00B64B78" w:rsidRPr="004C3E15">
        <w:rPr>
          <w:lang w:eastAsia="en-AU"/>
        </w:rPr>
        <w:t xml:space="preserve">not </w:t>
      </w:r>
      <w:r w:rsidR="00136C76">
        <w:rPr>
          <w:lang w:eastAsia="en-AU"/>
        </w:rPr>
        <w:t>allow</w:t>
      </w:r>
      <w:r w:rsidR="00B64B78" w:rsidRPr="004C3E15">
        <w:rPr>
          <w:lang w:eastAsia="en-AU"/>
        </w:rPr>
        <w:t xml:space="preserve"> consumers</w:t>
      </w:r>
      <w:r w:rsidR="00390B7C" w:rsidRPr="004C3E15">
        <w:rPr>
          <w:lang w:eastAsia="en-AU"/>
        </w:rPr>
        <w:t xml:space="preserve"> with decision-making capacity</w:t>
      </w:r>
      <w:r w:rsidR="00B64B78" w:rsidRPr="004C3E15">
        <w:rPr>
          <w:lang w:eastAsia="en-AU"/>
        </w:rPr>
        <w:t xml:space="preserve"> to refuse</w:t>
      </w:r>
      <w:r w:rsidR="00FA4844" w:rsidRPr="004C3E15">
        <w:rPr>
          <w:lang w:eastAsia="en-AU"/>
        </w:rPr>
        <w:t xml:space="preserve"> mental health</w:t>
      </w:r>
      <w:r w:rsidR="00CA19CF" w:rsidRPr="004C3E15">
        <w:rPr>
          <w:lang w:eastAsia="en-AU"/>
        </w:rPr>
        <w:t xml:space="preserve"> treatment</w:t>
      </w:r>
      <w:r w:rsidR="00390B7C" w:rsidRPr="004C3E15">
        <w:rPr>
          <w:lang w:eastAsia="en-AU"/>
        </w:rPr>
        <w:t>s</w:t>
      </w:r>
      <w:r w:rsidR="004A533C">
        <w:rPr>
          <w:lang w:eastAsia="en-AU"/>
        </w:rPr>
        <w:t xml:space="preserve"> other than ECT</w:t>
      </w:r>
      <w:r w:rsidR="00F51870">
        <w:rPr>
          <w:lang w:eastAsia="en-AU"/>
        </w:rPr>
        <w:t>. This is</w:t>
      </w:r>
      <w:r w:rsidR="00A712FB">
        <w:rPr>
          <w:lang w:eastAsia="en-AU"/>
        </w:rPr>
        <w:t xml:space="preserve"> inconsistent with the</w:t>
      </w:r>
      <w:r w:rsidR="00321A0C">
        <w:rPr>
          <w:lang w:eastAsia="en-AU"/>
        </w:rPr>
        <w:t xml:space="preserve"> </w:t>
      </w:r>
      <w:r w:rsidR="003213DA">
        <w:rPr>
          <w:lang w:eastAsia="en-AU"/>
        </w:rPr>
        <w:t xml:space="preserve">right to refuse </w:t>
      </w:r>
      <w:r w:rsidR="74D2CF05" w:rsidRPr="0B76573D">
        <w:rPr>
          <w:lang w:eastAsia="en-AU"/>
        </w:rPr>
        <w:t>medical</w:t>
      </w:r>
      <w:r w:rsidR="00A712FB">
        <w:rPr>
          <w:lang w:eastAsia="en-AU"/>
        </w:rPr>
        <w:t xml:space="preserve"> treatment</w:t>
      </w:r>
      <w:r w:rsidR="00F51870">
        <w:rPr>
          <w:lang w:eastAsia="en-AU"/>
        </w:rPr>
        <w:t xml:space="preserve"> where a person has </w:t>
      </w:r>
      <w:r w:rsidR="3F64CCFC" w:rsidRPr="05E50206">
        <w:rPr>
          <w:lang w:eastAsia="en-AU"/>
        </w:rPr>
        <w:t>decision-making</w:t>
      </w:r>
      <w:r w:rsidR="00F51870" w:rsidRPr="05E50206">
        <w:rPr>
          <w:lang w:eastAsia="en-AU"/>
        </w:rPr>
        <w:t xml:space="preserve"> </w:t>
      </w:r>
      <w:r w:rsidR="00F51870">
        <w:rPr>
          <w:lang w:eastAsia="en-AU"/>
        </w:rPr>
        <w:t xml:space="preserve">capacity </w:t>
      </w:r>
      <w:r w:rsidR="00C8507B">
        <w:rPr>
          <w:lang w:eastAsia="en-AU"/>
        </w:rPr>
        <w:t>including potentially life-saving treatment</w:t>
      </w:r>
      <w:r w:rsidR="00A712FB">
        <w:rPr>
          <w:lang w:eastAsia="en-AU"/>
        </w:rPr>
        <w:t xml:space="preserve"> (e.g. chemotherapy or blood transfusions).</w:t>
      </w:r>
      <w:r w:rsidR="006977FB">
        <w:rPr>
          <w:lang w:eastAsia="en-AU"/>
        </w:rPr>
        <w:t xml:space="preserve"> </w:t>
      </w:r>
      <w:r w:rsidR="53FD734C" w:rsidRPr="50EB79BB">
        <w:rPr>
          <w:lang w:eastAsia="en-AU"/>
        </w:rPr>
        <w:t>It gives rise to discrimination</w:t>
      </w:r>
      <w:r w:rsidR="53FD734C" w:rsidRPr="2F380990">
        <w:rPr>
          <w:lang w:eastAsia="en-AU"/>
        </w:rPr>
        <w:t xml:space="preserve"> </w:t>
      </w:r>
      <w:r w:rsidR="53FD734C" w:rsidRPr="6443B20B">
        <w:rPr>
          <w:lang w:eastAsia="en-AU"/>
        </w:rPr>
        <w:t>against people with mental health issues</w:t>
      </w:r>
      <w:r w:rsidR="59BF2AEA" w:rsidRPr="49D79839">
        <w:rPr>
          <w:lang w:eastAsia="en-AU"/>
        </w:rPr>
        <w:t xml:space="preserve"> as compared with people with other health conditions</w:t>
      </w:r>
      <w:r w:rsidR="53FD734C" w:rsidRPr="49D79839">
        <w:rPr>
          <w:lang w:eastAsia="en-AU"/>
        </w:rPr>
        <w:t xml:space="preserve"> </w:t>
      </w:r>
      <w:r w:rsidR="59BF2AEA" w:rsidRPr="07AA495F">
        <w:rPr>
          <w:lang w:eastAsia="en-AU"/>
        </w:rPr>
        <w:t>or disabilit</w:t>
      </w:r>
      <w:r w:rsidR="00197459">
        <w:rPr>
          <w:lang w:eastAsia="en-AU"/>
        </w:rPr>
        <w:t>y</w:t>
      </w:r>
      <w:r w:rsidR="59BF2AEA" w:rsidRPr="07AA495F">
        <w:rPr>
          <w:lang w:eastAsia="en-AU"/>
        </w:rPr>
        <w:t>.</w:t>
      </w:r>
      <w:r w:rsidR="53FD734C" w:rsidRPr="07AA495F">
        <w:rPr>
          <w:lang w:eastAsia="en-AU"/>
        </w:rPr>
        <w:t xml:space="preserve"> </w:t>
      </w:r>
    </w:p>
    <w:p w14:paraId="40E2B526" w14:textId="24B0F187" w:rsidR="008648BB" w:rsidRDefault="008648BB" w:rsidP="002168B7">
      <w:pPr>
        <w:rPr>
          <w:lang w:eastAsia="en-AU"/>
        </w:rPr>
      </w:pPr>
      <w:r>
        <w:rPr>
          <w:lang w:eastAsia="en-AU"/>
        </w:rPr>
        <w:t xml:space="preserve">Through our practice experience before the Mental Health Tribunal, we have assisted clients who have the capacity to make their own decision about a proposed treatment but </w:t>
      </w:r>
      <w:r w:rsidR="00C47FB7">
        <w:rPr>
          <w:lang w:eastAsia="en-AU"/>
        </w:rPr>
        <w:t>are ordered</w:t>
      </w:r>
      <w:r>
        <w:rPr>
          <w:lang w:eastAsia="en-AU"/>
        </w:rPr>
        <w:t xml:space="preserve"> to </w:t>
      </w:r>
      <w:r w:rsidR="00C47FB7">
        <w:rPr>
          <w:lang w:eastAsia="en-AU"/>
        </w:rPr>
        <w:t>undergo</w:t>
      </w:r>
      <w:r>
        <w:rPr>
          <w:lang w:eastAsia="en-AU"/>
        </w:rPr>
        <w:t xml:space="preserve"> non-consensual treatment (e.g. </w:t>
      </w:r>
      <w:r w:rsidR="00C47FB7">
        <w:rPr>
          <w:lang w:eastAsia="en-AU"/>
        </w:rPr>
        <w:t>forced injections</w:t>
      </w:r>
      <w:r>
        <w:rPr>
          <w:lang w:eastAsia="en-AU"/>
        </w:rPr>
        <w:t>). Subjecting a person to treatment without their consent can have a detrimental impact on their recovery, dignity and autonomy.</w:t>
      </w:r>
      <w:r>
        <w:rPr>
          <w:rStyle w:val="FootnoteReference"/>
          <w:lang w:eastAsia="en-AU"/>
        </w:rPr>
        <w:footnoteReference w:id="73"/>
      </w:r>
    </w:p>
    <w:p w14:paraId="1037E491" w14:textId="77777777" w:rsidR="00982602" w:rsidRDefault="006977FB" w:rsidP="002168B7">
      <w:pPr>
        <w:rPr>
          <w:lang w:eastAsia="en-AU"/>
        </w:rPr>
      </w:pPr>
      <w:r>
        <w:rPr>
          <w:lang w:eastAsia="en-AU"/>
        </w:rPr>
        <w:t>In con</w:t>
      </w:r>
      <w:r w:rsidR="0086531A">
        <w:rPr>
          <w:lang w:eastAsia="en-AU"/>
        </w:rPr>
        <w:t>sidering the application of the capacity test in the Mental Health Act</w:t>
      </w:r>
      <w:r w:rsidR="00690F00">
        <w:rPr>
          <w:lang w:eastAsia="en-AU"/>
        </w:rPr>
        <w:t>, Justice Bell said</w:t>
      </w:r>
      <w:r w:rsidR="00982602">
        <w:rPr>
          <w:lang w:eastAsia="en-AU"/>
        </w:rPr>
        <w:t>:</w:t>
      </w:r>
    </w:p>
    <w:p w14:paraId="61756529" w14:textId="3C941D55" w:rsidR="00982602" w:rsidRDefault="00927578" w:rsidP="00B05C0A">
      <w:pPr>
        <w:ind w:left="720"/>
        <w:rPr>
          <w:lang w:eastAsia="en-AU"/>
        </w:rPr>
      </w:pPr>
      <w:r>
        <w:rPr>
          <w:lang w:eastAsia="en-AU"/>
        </w:rPr>
        <w:t>The issue is closely connected with the need to respect the h</w:t>
      </w:r>
      <w:r w:rsidR="006A6D73">
        <w:rPr>
          <w:lang w:eastAsia="en-AU"/>
        </w:rPr>
        <w:t>u</w:t>
      </w:r>
      <w:r>
        <w:rPr>
          <w:lang w:eastAsia="en-AU"/>
        </w:rPr>
        <w:t>man rights of persons with mental disability by avoiding discriminatory application of the capacity test</w:t>
      </w:r>
      <w:r w:rsidR="00982602">
        <w:rPr>
          <w:lang w:eastAsia="en-AU"/>
        </w:rPr>
        <w:t xml:space="preserve"> … </w:t>
      </w:r>
      <w:r w:rsidR="00982602" w:rsidRPr="00982602">
        <w:rPr>
          <w:lang w:eastAsia="en-AU"/>
        </w:rPr>
        <w:t>When respect is afforded to the choice of the person to consent to or refuse medical treatment, the person is recognised for who they are</w:t>
      </w:r>
      <w:r w:rsidR="00D25DD9">
        <w:rPr>
          <w:lang w:eastAsia="en-AU"/>
        </w:rPr>
        <w:t>.</w:t>
      </w:r>
      <w:r w:rsidR="00733515">
        <w:rPr>
          <w:rStyle w:val="FootnoteReference"/>
          <w:lang w:eastAsia="en-AU"/>
        </w:rPr>
        <w:footnoteReference w:id="74"/>
      </w:r>
    </w:p>
    <w:p w14:paraId="19E32B80" w14:textId="10547268" w:rsidR="00270984" w:rsidRDefault="005328E7" w:rsidP="004B26FE">
      <w:pPr>
        <w:rPr>
          <w:lang w:eastAsia="en-AU"/>
        </w:rPr>
      </w:pPr>
      <w:r w:rsidRPr="00B05C0A">
        <w:rPr>
          <w:lang w:eastAsia="en-AU"/>
        </w:rPr>
        <w:t xml:space="preserve">Where a person has decision-making capacity in relation to a treatment decision, they should be </w:t>
      </w:r>
      <w:r w:rsidR="00D774A2">
        <w:rPr>
          <w:lang w:eastAsia="en-AU"/>
        </w:rPr>
        <w:t>able</w:t>
      </w:r>
      <w:r w:rsidRPr="00B05C0A">
        <w:rPr>
          <w:lang w:eastAsia="en-AU"/>
        </w:rPr>
        <w:t xml:space="preserve"> to make th</w:t>
      </w:r>
      <w:r w:rsidR="00232BB7">
        <w:rPr>
          <w:lang w:eastAsia="en-AU"/>
        </w:rPr>
        <w:t>is</w:t>
      </w:r>
      <w:r w:rsidRPr="00B05C0A">
        <w:rPr>
          <w:lang w:eastAsia="en-AU"/>
        </w:rPr>
        <w:t xml:space="preserve"> decision – regardless of whether this relates to mental health or </w:t>
      </w:r>
      <w:r w:rsidR="00BF387D">
        <w:rPr>
          <w:lang w:eastAsia="en-AU"/>
        </w:rPr>
        <w:t>other</w:t>
      </w:r>
      <w:r w:rsidRPr="00B05C0A">
        <w:rPr>
          <w:lang w:eastAsia="en-AU"/>
        </w:rPr>
        <w:t xml:space="preserve"> health treatment.</w:t>
      </w:r>
      <w:r w:rsidR="001208F1">
        <w:rPr>
          <w:rStyle w:val="FootnoteReference"/>
          <w:lang w:eastAsia="en-AU"/>
        </w:rPr>
        <w:footnoteReference w:id="75"/>
      </w:r>
    </w:p>
    <w:p w14:paraId="37DB9E1F" w14:textId="77777777" w:rsidR="00270984" w:rsidRDefault="00270984" w:rsidP="00270984">
      <w:pPr>
        <w:rPr>
          <w:lang w:eastAsia="en-AU"/>
        </w:rPr>
      </w:pPr>
      <w:r>
        <w:rPr>
          <w:lang w:eastAsia="en-AU"/>
        </w:rPr>
        <w:t xml:space="preserve">Increasingly, equivalent mental health laws in other Australian jurisdictions uphold the right of people with decision-making capacity to refuse mental health treatment. </w:t>
      </w:r>
      <w:r w:rsidRPr="66AED6D4">
        <w:rPr>
          <w:lang w:eastAsia="en-AU"/>
        </w:rPr>
        <w:t>The mental health laws in</w:t>
      </w:r>
      <w:r>
        <w:rPr>
          <w:lang w:eastAsia="en-AU"/>
        </w:rPr>
        <w:t xml:space="preserve"> the Northern Territory, Australian Capital Territory, Queensland, Tasmania and Western Australia only permit involuntary mental health treatment when a person lacks decision-making capacity.</w:t>
      </w:r>
      <w:r>
        <w:rPr>
          <w:rStyle w:val="FootnoteReference"/>
          <w:lang w:eastAsia="en-AU"/>
        </w:rPr>
        <w:footnoteReference w:id="76"/>
      </w:r>
    </w:p>
    <w:p w14:paraId="4631F903" w14:textId="4D95D54C" w:rsidR="005328E7" w:rsidRPr="00C73BD9" w:rsidRDefault="00270984" w:rsidP="002168B7">
      <w:pPr>
        <w:rPr>
          <w:lang w:eastAsia="en-AU"/>
        </w:rPr>
      </w:pPr>
      <w:r w:rsidRPr="00501AD5">
        <w:rPr>
          <w:lang w:eastAsia="en-AU"/>
        </w:rPr>
        <w:t xml:space="preserve">There may be exceptional cases where </w:t>
      </w:r>
      <w:r w:rsidRPr="00FA1F4C">
        <w:rPr>
          <w:lang w:eastAsia="en-AU"/>
        </w:rPr>
        <w:t xml:space="preserve">compulsory </w:t>
      </w:r>
      <w:r w:rsidRPr="00501AD5">
        <w:rPr>
          <w:lang w:eastAsia="en-AU"/>
        </w:rPr>
        <w:t>treatment is justified to prevent serious harm to others</w:t>
      </w:r>
      <w:r w:rsidRPr="2465406E">
        <w:rPr>
          <w:lang w:eastAsia="en-AU"/>
        </w:rPr>
        <w:t xml:space="preserve"> notwithstanding </w:t>
      </w:r>
      <w:r w:rsidRPr="084DD2F9">
        <w:rPr>
          <w:lang w:eastAsia="en-AU"/>
        </w:rPr>
        <w:t xml:space="preserve">that the person has </w:t>
      </w:r>
      <w:r w:rsidRPr="00FA1F4C">
        <w:rPr>
          <w:lang w:eastAsia="en-AU"/>
        </w:rPr>
        <w:t>decision-making capacity</w:t>
      </w:r>
      <w:r w:rsidRPr="00501AD5">
        <w:rPr>
          <w:lang w:eastAsia="en-AU"/>
        </w:rPr>
        <w:t>.</w:t>
      </w:r>
      <w:r w:rsidR="00176469">
        <w:rPr>
          <w:lang w:eastAsia="en-AU"/>
        </w:rPr>
        <w:t xml:space="preserve"> To address these concerns, the</w:t>
      </w:r>
      <w:r w:rsidR="004B26FE" w:rsidRPr="00D10BD0">
        <w:rPr>
          <w:lang w:eastAsia="en-AU"/>
        </w:rPr>
        <w:t xml:space="preserve"> treatment criteria </w:t>
      </w:r>
      <w:r w:rsidR="008648BB" w:rsidRPr="00D10BD0">
        <w:rPr>
          <w:lang w:eastAsia="en-AU"/>
        </w:rPr>
        <w:t>in</w:t>
      </w:r>
      <w:r w:rsidR="00541F80" w:rsidRPr="00D10BD0">
        <w:rPr>
          <w:lang w:eastAsia="en-AU"/>
        </w:rPr>
        <w:t xml:space="preserve"> </w:t>
      </w:r>
      <w:r w:rsidR="008648BB" w:rsidRPr="00D10BD0">
        <w:rPr>
          <w:lang w:eastAsia="en-AU"/>
        </w:rPr>
        <w:t xml:space="preserve">section 5 of the Mental Health Act </w:t>
      </w:r>
      <w:r w:rsidR="004B26FE" w:rsidRPr="00D10BD0">
        <w:rPr>
          <w:lang w:eastAsia="en-AU"/>
        </w:rPr>
        <w:t xml:space="preserve">should be amended to include an additional criterion that the person </w:t>
      </w:r>
      <w:r w:rsidR="000D5F6D">
        <w:rPr>
          <w:lang w:eastAsia="en-AU"/>
        </w:rPr>
        <w:t xml:space="preserve">can only </w:t>
      </w:r>
      <w:r w:rsidR="0035290E">
        <w:rPr>
          <w:lang w:eastAsia="en-AU"/>
        </w:rPr>
        <w:t>be</w:t>
      </w:r>
      <w:r w:rsidR="00474FFB">
        <w:rPr>
          <w:lang w:eastAsia="en-AU"/>
        </w:rPr>
        <w:t xml:space="preserve"> made subject to </w:t>
      </w:r>
      <w:r w:rsidR="004E577C">
        <w:rPr>
          <w:lang w:eastAsia="en-AU"/>
        </w:rPr>
        <w:t xml:space="preserve">a compulsory treatment order where the person </w:t>
      </w:r>
      <w:r w:rsidR="004B26FE" w:rsidRPr="00D10BD0">
        <w:rPr>
          <w:lang w:eastAsia="en-AU"/>
        </w:rPr>
        <w:t>does not have capacity to give informed consent to the immediate treatment</w:t>
      </w:r>
      <w:r w:rsidR="00596C57" w:rsidRPr="00501AD5">
        <w:rPr>
          <w:lang w:eastAsia="en-AU"/>
        </w:rPr>
        <w:t xml:space="preserve">, </w:t>
      </w:r>
      <w:r w:rsidR="00176469">
        <w:rPr>
          <w:lang w:eastAsia="en-AU"/>
        </w:rPr>
        <w:t>with</w:t>
      </w:r>
      <w:r w:rsidRPr="534BAF77">
        <w:rPr>
          <w:lang w:eastAsia="en-AU"/>
        </w:rPr>
        <w:t xml:space="preserve"> an exception </w:t>
      </w:r>
      <w:r w:rsidR="00176469">
        <w:rPr>
          <w:lang w:eastAsia="en-AU"/>
        </w:rPr>
        <w:t>where</w:t>
      </w:r>
      <w:r w:rsidRPr="534BAF77">
        <w:rPr>
          <w:lang w:eastAsia="en-AU"/>
        </w:rPr>
        <w:t xml:space="preserve"> </w:t>
      </w:r>
      <w:r w:rsidR="00176469">
        <w:rPr>
          <w:lang w:eastAsia="en-AU"/>
        </w:rPr>
        <w:t xml:space="preserve">compulsory </w:t>
      </w:r>
      <w:r w:rsidRPr="731D9E38">
        <w:rPr>
          <w:lang w:eastAsia="en-AU"/>
        </w:rPr>
        <w:t xml:space="preserve">treatment </w:t>
      </w:r>
      <w:r w:rsidR="00176469">
        <w:rPr>
          <w:lang w:eastAsia="en-AU"/>
        </w:rPr>
        <w:t xml:space="preserve">for a person with decision-making capacity </w:t>
      </w:r>
      <w:r w:rsidRPr="731D9E38">
        <w:rPr>
          <w:lang w:eastAsia="en-AU"/>
        </w:rPr>
        <w:t>is necessary to prevent serious harm</w:t>
      </w:r>
      <w:r w:rsidRPr="731D9E38" w:rsidDel="005328E7">
        <w:rPr>
          <w:lang w:eastAsia="en-AU"/>
        </w:rPr>
        <w:t xml:space="preserve"> </w:t>
      </w:r>
      <w:r w:rsidRPr="2FB7FCB4">
        <w:rPr>
          <w:lang w:eastAsia="en-AU"/>
        </w:rPr>
        <w:t>to others.</w:t>
      </w:r>
      <w:r w:rsidR="00176469">
        <w:rPr>
          <w:lang w:eastAsia="en-AU"/>
        </w:rPr>
        <w:t xml:space="preserve"> In addition, c</w:t>
      </w:r>
      <w:r w:rsidR="0C9276AF" w:rsidRPr="2C24DA1D">
        <w:rPr>
          <w:lang w:eastAsia="en-AU"/>
        </w:rPr>
        <w:t xml:space="preserve">onsequential </w:t>
      </w:r>
      <w:r w:rsidR="0C9276AF" w:rsidRPr="4DC8E226">
        <w:rPr>
          <w:lang w:eastAsia="en-AU"/>
        </w:rPr>
        <w:t xml:space="preserve">amendments should be made to </w:t>
      </w:r>
      <w:r w:rsidR="005328E7" w:rsidRPr="00B05C0A">
        <w:rPr>
          <w:lang w:eastAsia="en-AU"/>
        </w:rPr>
        <w:t xml:space="preserve">section 71 to provide that an authorised psychiatrist may only make a substituted decision for a </w:t>
      </w:r>
      <w:r w:rsidR="006D20BE">
        <w:rPr>
          <w:lang w:eastAsia="en-AU"/>
        </w:rPr>
        <w:t>person</w:t>
      </w:r>
      <w:r w:rsidR="005328E7" w:rsidRPr="00B05C0A">
        <w:rPr>
          <w:lang w:eastAsia="en-AU"/>
        </w:rPr>
        <w:t xml:space="preserve"> where the </w:t>
      </w:r>
      <w:r w:rsidR="00C964F0">
        <w:rPr>
          <w:lang w:eastAsia="en-AU"/>
        </w:rPr>
        <w:t>person</w:t>
      </w:r>
      <w:r w:rsidR="005328E7" w:rsidRPr="00B05C0A">
        <w:rPr>
          <w:lang w:eastAsia="en-AU"/>
        </w:rPr>
        <w:t xml:space="preserve"> does not have </w:t>
      </w:r>
      <w:r w:rsidR="00C57B76">
        <w:rPr>
          <w:lang w:eastAsia="en-AU"/>
        </w:rPr>
        <w:t>capacity to give informed consent to the treatment</w:t>
      </w:r>
      <w:r w:rsidR="005328E7" w:rsidRPr="00B05C0A">
        <w:rPr>
          <w:lang w:eastAsia="en-AU"/>
        </w:rPr>
        <w:t xml:space="preserve">, or the treatment is necessary to prevent serious harm to others, and the </w:t>
      </w:r>
      <w:r w:rsidR="006D20BE">
        <w:rPr>
          <w:lang w:eastAsia="en-AU"/>
        </w:rPr>
        <w:t>person</w:t>
      </w:r>
      <w:r w:rsidR="005328E7" w:rsidRPr="00B05C0A">
        <w:rPr>
          <w:lang w:eastAsia="en-AU"/>
        </w:rPr>
        <w:t xml:space="preserve"> is refusing to consent to the treatment.</w:t>
      </w:r>
      <w:r w:rsidR="00C406B2">
        <w:rPr>
          <w:rStyle w:val="FootnoteReference"/>
          <w:lang w:eastAsia="en-AU"/>
        </w:rPr>
        <w:footnoteReference w:id="77"/>
      </w:r>
    </w:p>
    <w:p w14:paraId="6B6FF9DA" w14:textId="267EDA6F" w:rsidR="0013690F" w:rsidRPr="002915D4" w:rsidRDefault="003C1CF3" w:rsidP="002915D4">
      <w:pPr>
        <w:shd w:val="clear" w:color="auto" w:fill="DEEAF6" w:themeFill="accent5" w:themeFillTint="33"/>
        <w:spacing w:line="240" w:lineRule="auto"/>
        <w:ind w:left="3119" w:hanging="2693"/>
      </w:pPr>
      <w:bookmarkStart w:id="2324" w:name="_Toc41411946"/>
      <w:r w:rsidRPr="00B9060C">
        <w:rPr>
          <w:b/>
          <w:bCs/>
        </w:rPr>
        <w:lastRenderedPageBreak/>
        <w:t>Recommendation 1</w:t>
      </w:r>
      <w:r>
        <w:rPr>
          <w:b/>
          <w:bCs/>
        </w:rPr>
        <w:t xml:space="preserve">9: </w:t>
      </w:r>
      <w:r w:rsidR="00BF5882">
        <w:rPr>
          <w:b/>
          <w:bCs/>
        </w:rPr>
        <w:tab/>
      </w:r>
      <w:r w:rsidR="007560D0" w:rsidRPr="002915D4">
        <w:rPr>
          <w:b/>
          <w:bCs/>
        </w:rPr>
        <w:t>Allow c</w:t>
      </w:r>
      <w:r w:rsidR="0013690F" w:rsidRPr="002915D4">
        <w:rPr>
          <w:b/>
          <w:bCs/>
        </w:rPr>
        <w:t>onsumers with decision-making capacity</w:t>
      </w:r>
      <w:r w:rsidR="007560D0" w:rsidRPr="002915D4">
        <w:rPr>
          <w:b/>
          <w:bCs/>
        </w:rPr>
        <w:t xml:space="preserve"> to make treatment decisions</w:t>
      </w:r>
      <w:bookmarkEnd w:id="2324"/>
    </w:p>
    <w:p w14:paraId="28694FC6" w14:textId="44F60334" w:rsidR="00725695" w:rsidRPr="002915D4" w:rsidRDefault="002168B7" w:rsidP="002915D4">
      <w:pPr>
        <w:shd w:val="clear" w:color="auto" w:fill="DEEAF6" w:themeFill="accent5" w:themeFillTint="33"/>
        <w:ind w:left="426"/>
      </w:pPr>
      <w:r w:rsidRPr="002915D4">
        <w:t xml:space="preserve">The </w:t>
      </w:r>
      <w:r w:rsidR="0032519D" w:rsidRPr="002915D4">
        <w:t>Victorian Government should amend</w:t>
      </w:r>
      <w:r w:rsidRPr="002915D4">
        <w:t xml:space="preserve"> the Mental Health Act to </w:t>
      </w:r>
      <w:r w:rsidR="00F51870" w:rsidRPr="002915D4">
        <w:t>allow</w:t>
      </w:r>
      <w:r w:rsidR="00EE6960" w:rsidRPr="002915D4">
        <w:t xml:space="preserve"> </w:t>
      </w:r>
      <w:r w:rsidR="004654A8" w:rsidRPr="002915D4">
        <w:t>consumers with decision-making capacity to refuse treatment</w:t>
      </w:r>
      <w:r w:rsidR="00F51870" w:rsidRPr="002915D4">
        <w:t>,</w:t>
      </w:r>
      <w:r w:rsidR="00BC3E33" w:rsidRPr="002915D4">
        <w:t xml:space="preserve"> unless </w:t>
      </w:r>
      <w:r w:rsidRPr="002915D4">
        <w:t xml:space="preserve">immediate treatment </w:t>
      </w:r>
      <w:r w:rsidR="00F51870" w:rsidRPr="002915D4">
        <w:t>is necessary</w:t>
      </w:r>
      <w:r w:rsidRPr="002915D4">
        <w:t xml:space="preserve"> to prevent serious harm to another person. </w:t>
      </w:r>
    </w:p>
    <w:p w14:paraId="2B242D08" w14:textId="611548BA" w:rsidR="005E7ACE" w:rsidRDefault="003869AE" w:rsidP="00C73BD9">
      <w:pPr>
        <w:pStyle w:val="Heading3"/>
      </w:pPr>
      <w:r>
        <w:t xml:space="preserve">Giving effect to a person’s </w:t>
      </w:r>
      <w:r w:rsidR="001762AA">
        <w:t>will</w:t>
      </w:r>
      <w:r>
        <w:t xml:space="preserve"> and preferences</w:t>
      </w:r>
    </w:p>
    <w:p w14:paraId="5FAA6057" w14:textId="65BF8088" w:rsidR="00230E6D" w:rsidRPr="00230E6D" w:rsidRDefault="00230E6D" w:rsidP="00230E6D">
      <w:pPr>
        <w:rPr>
          <w:lang w:eastAsia="en-AU"/>
        </w:rPr>
      </w:pPr>
      <w:r w:rsidRPr="00230E6D">
        <w:rPr>
          <w:lang w:eastAsia="en-AU"/>
        </w:rPr>
        <w:t>The Mental Health Act currently provides that an authorised psychiatrist (or the Tribunal</w:t>
      </w:r>
      <w:r w:rsidR="00B6080A">
        <w:rPr>
          <w:lang w:eastAsia="en-AU"/>
        </w:rPr>
        <w:t xml:space="preserve"> for</w:t>
      </w:r>
      <w:r w:rsidRPr="00230E6D">
        <w:rPr>
          <w:lang w:eastAsia="en-AU"/>
        </w:rPr>
        <w:t xml:space="preserve"> ECT) may make a substitute decision for a consumer if satisfied there is no less restrictive way for the patient to be treated.</w:t>
      </w:r>
      <w:r w:rsidR="00AF32FB">
        <w:rPr>
          <w:rStyle w:val="FootnoteReference"/>
          <w:lang w:eastAsia="en-AU"/>
        </w:rPr>
        <w:footnoteReference w:id="78"/>
      </w:r>
      <w:r w:rsidRPr="00230E6D">
        <w:rPr>
          <w:lang w:eastAsia="en-AU"/>
        </w:rPr>
        <w:t xml:space="preserve"> </w:t>
      </w:r>
      <w:r w:rsidR="008519B0">
        <w:rPr>
          <w:lang w:eastAsia="en-AU"/>
        </w:rPr>
        <w:t>The decision-maker</w:t>
      </w:r>
      <w:r w:rsidRPr="00230E6D">
        <w:rPr>
          <w:lang w:eastAsia="en-AU"/>
        </w:rPr>
        <w:t xml:space="preserve"> must have regard to the patient</w:t>
      </w:r>
      <w:r w:rsidR="008519B0">
        <w:rPr>
          <w:lang w:eastAsia="en-AU"/>
        </w:rPr>
        <w:t>’</w:t>
      </w:r>
      <w:r w:rsidRPr="00230E6D">
        <w:rPr>
          <w:lang w:eastAsia="en-AU"/>
        </w:rPr>
        <w:t xml:space="preserve">s views and preferences. </w:t>
      </w:r>
      <w:r w:rsidR="0012612D">
        <w:rPr>
          <w:lang w:eastAsia="en-AU"/>
        </w:rPr>
        <w:t xml:space="preserve">This </w:t>
      </w:r>
      <w:r w:rsidRPr="00230E6D">
        <w:rPr>
          <w:lang w:eastAsia="en-AU"/>
        </w:rPr>
        <w:t xml:space="preserve">framework </w:t>
      </w:r>
      <w:r w:rsidR="0012612D">
        <w:rPr>
          <w:lang w:eastAsia="en-AU"/>
        </w:rPr>
        <w:t>is in line with previous guardianship and administration laws in place</w:t>
      </w:r>
      <w:r w:rsidRPr="00230E6D">
        <w:rPr>
          <w:lang w:eastAsia="en-AU"/>
        </w:rPr>
        <w:t xml:space="preserve"> when the M</w:t>
      </w:r>
      <w:r w:rsidR="00AE7674">
        <w:rPr>
          <w:lang w:eastAsia="en-AU"/>
        </w:rPr>
        <w:t xml:space="preserve">ental </w:t>
      </w:r>
      <w:r w:rsidRPr="00230E6D">
        <w:rPr>
          <w:lang w:eastAsia="en-AU"/>
        </w:rPr>
        <w:t>H</w:t>
      </w:r>
      <w:r w:rsidR="00AE7674">
        <w:rPr>
          <w:lang w:eastAsia="en-AU"/>
        </w:rPr>
        <w:t xml:space="preserve">ealth </w:t>
      </w:r>
      <w:r w:rsidRPr="00230E6D">
        <w:rPr>
          <w:lang w:eastAsia="en-AU"/>
        </w:rPr>
        <w:t>A</w:t>
      </w:r>
      <w:r w:rsidR="00AE7674">
        <w:rPr>
          <w:lang w:eastAsia="en-AU"/>
        </w:rPr>
        <w:t>ct</w:t>
      </w:r>
      <w:r w:rsidRPr="00230E6D">
        <w:rPr>
          <w:lang w:eastAsia="en-AU"/>
        </w:rPr>
        <w:t xml:space="preserve"> was passed in 2014, </w:t>
      </w:r>
      <w:r w:rsidR="0012612D">
        <w:rPr>
          <w:lang w:eastAsia="en-AU"/>
        </w:rPr>
        <w:t xml:space="preserve">but </w:t>
      </w:r>
      <w:r w:rsidRPr="00230E6D">
        <w:rPr>
          <w:lang w:eastAsia="en-AU"/>
        </w:rPr>
        <w:t xml:space="preserve">is now inconsistent with the </w:t>
      </w:r>
      <w:r w:rsidR="0012612D">
        <w:rPr>
          <w:lang w:eastAsia="en-AU"/>
        </w:rPr>
        <w:t>new</w:t>
      </w:r>
      <w:r w:rsidRPr="00230E6D">
        <w:rPr>
          <w:lang w:eastAsia="en-AU"/>
        </w:rPr>
        <w:t xml:space="preserve"> standard and framework under the </w:t>
      </w:r>
      <w:r w:rsidRPr="009F1F67">
        <w:rPr>
          <w:i/>
          <w:lang w:eastAsia="en-AU"/>
        </w:rPr>
        <w:t>Guardianship and Administration Act</w:t>
      </w:r>
      <w:r w:rsidR="0012612D" w:rsidRPr="009F1F67">
        <w:rPr>
          <w:i/>
          <w:lang w:eastAsia="en-AU"/>
        </w:rPr>
        <w:t xml:space="preserve"> </w:t>
      </w:r>
      <w:r w:rsidR="00592E02" w:rsidRPr="009F1F67">
        <w:rPr>
          <w:i/>
          <w:iCs/>
          <w:lang w:eastAsia="en-AU"/>
        </w:rPr>
        <w:t>2019</w:t>
      </w:r>
      <w:r w:rsidR="00592E02">
        <w:rPr>
          <w:lang w:eastAsia="en-AU"/>
        </w:rPr>
        <w:t xml:space="preserve"> (Vic) </w:t>
      </w:r>
      <w:r w:rsidR="0012612D">
        <w:rPr>
          <w:lang w:eastAsia="en-AU"/>
        </w:rPr>
        <w:t>as of March 2020</w:t>
      </w:r>
      <w:r w:rsidRPr="00230E6D">
        <w:rPr>
          <w:lang w:eastAsia="en-AU"/>
        </w:rPr>
        <w:t>.</w:t>
      </w:r>
      <w:r w:rsidR="00667CB1">
        <w:rPr>
          <w:rStyle w:val="FootnoteReference"/>
          <w:lang w:eastAsia="en-AU"/>
        </w:rPr>
        <w:footnoteReference w:id="79"/>
      </w:r>
      <w:r w:rsidRPr="00230E6D">
        <w:rPr>
          <w:lang w:eastAsia="en-AU"/>
        </w:rPr>
        <w:t xml:space="preserve"> </w:t>
      </w:r>
      <w:r w:rsidR="00667CB1">
        <w:rPr>
          <w:lang w:eastAsia="en-AU"/>
        </w:rPr>
        <w:t>The</w:t>
      </w:r>
      <w:r w:rsidR="00EA5ABD">
        <w:rPr>
          <w:lang w:eastAsia="en-AU"/>
        </w:rPr>
        <w:t xml:space="preserve"> new standard</w:t>
      </w:r>
      <w:r w:rsidR="00667CB1">
        <w:rPr>
          <w:lang w:eastAsia="en-AU"/>
        </w:rPr>
        <w:t xml:space="preserve"> protects consumers’ rights to self-determination by requiring</w:t>
      </w:r>
      <w:r w:rsidRPr="00230E6D">
        <w:rPr>
          <w:lang w:eastAsia="en-AU"/>
        </w:rPr>
        <w:t xml:space="preserve"> a substitute decision-maker </w:t>
      </w:r>
      <w:r w:rsidR="00667CB1">
        <w:rPr>
          <w:lang w:eastAsia="en-AU"/>
        </w:rPr>
        <w:t>to</w:t>
      </w:r>
      <w:r w:rsidRPr="00230E6D">
        <w:rPr>
          <w:lang w:eastAsia="en-AU"/>
        </w:rPr>
        <w:t xml:space="preserve"> ‘give all practical and appropriate effect to a person’s will and preference</w:t>
      </w:r>
      <w:r w:rsidR="00E902FA">
        <w:rPr>
          <w:lang w:eastAsia="en-AU"/>
        </w:rPr>
        <w:t>s</w:t>
      </w:r>
      <w:r w:rsidRPr="00230E6D">
        <w:rPr>
          <w:lang w:eastAsia="en-AU"/>
        </w:rPr>
        <w:t xml:space="preserve">’, and may only override the person’s will and preferences if doing so is </w:t>
      </w:r>
      <w:r w:rsidR="49027EBA" w:rsidRPr="5E81F67A">
        <w:rPr>
          <w:lang w:eastAsia="en-AU"/>
        </w:rPr>
        <w:t>‘</w:t>
      </w:r>
      <w:r w:rsidRPr="00230E6D">
        <w:rPr>
          <w:lang w:eastAsia="en-AU"/>
        </w:rPr>
        <w:t xml:space="preserve">necessary to prevent serious </w:t>
      </w:r>
      <w:r w:rsidRPr="5E81F67A">
        <w:rPr>
          <w:lang w:eastAsia="en-AU"/>
        </w:rPr>
        <w:t>harm</w:t>
      </w:r>
      <w:r w:rsidR="023B6FBA" w:rsidRPr="5E81F67A">
        <w:rPr>
          <w:lang w:eastAsia="en-AU"/>
        </w:rPr>
        <w:t>’</w:t>
      </w:r>
      <w:r w:rsidRPr="5E81F67A">
        <w:rPr>
          <w:lang w:eastAsia="en-AU"/>
        </w:rPr>
        <w:t>.</w:t>
      </w:r>
      <w:r w:rsidR="00667CB1">
        <w:rPr>
          <w:rStyle w:val="FootnoteReference"/>
          <w:lang w:eastAsia="en-AU"/>
        </w:rPr>
        <w:footnoteReference w:id="80"/>
      </w:r>
    </w:p>
    <w:p w14:paraId="7230AA60" w14:textId="31E7D3F8" w:rsidR="00B44789" w:rsidRDefault="00E40F51" w:rsidP="009F1F67">
      <w:r>
        <w:rPr>
          <w:lang w:eastAsia="en-AU"/>
        </w:rPr>
        <w:t xml:space="preserve">The </w:t>
      </w:r>
      <w:r w:rsidR="00B44789">
        <w:rPr>
          <w:lang w:eastAsia="en-AU"/>
        </w:rPr>
        <w:t xml:space="preserve">Mental Health Act </w:t>
      </w:r>
      <w:r>
        <w:rPr>
          <w:lang w:eastAsia="en-AU"/>
        </w:rPr>
        <w:t xml:space="preserve">should </w:t>
      </w:r>
      <w:r w:rsidR="00B44789">
        <w:rPr>
          <w:lang w:eastAsia="en-AU"/>
        </w:rPr>
        <w:t>provide that</w:t>
      </w:r>
      <w:r w:rsidR="007560D0">
        <w:rPr>
          <w:lang w:eastAsia="en-AU"/>
        </w:rPr>
        <w:t xml:space="preserve"> a</w:t>
      </w:r>
      <w:r w:rsidR="00B44789">
        <w:t xml:space="preserve">n authorised psychiatrist (or the Tribunal for ECT) must give all practical and appropriate effect to a </w:t>
      </w:r>
      <w:r w:rsidR="00757A48">
        <w:t>person’s</w:t>
      </w:r>
      <w:r w:rsidR="00B44789">
        <w:t xml:space="preserve"> will and preferences</w:t>
      </w:r>
      <w:r w:rsidR="00F36780">
        <w:t>.</w:t>
      </w:r>
      <w:r w:rsidR="00667CB1">
        <w:rPr>
          <w:rStyle w:val="FootnoteReference"/>
          <w:lang w:eastAsia="en-AU"/>
        </w:rPr>
        <w:footnoteReference w:id="81"/>
      </w:r>
      <w:r w:rsidR="007560D0">
        <w:t xml:space="preserve"> </w:t>
      </w:r>
      <w:r w:rsidR="00B44789">
        <w:t xml:space="preserve">If the authorised psychiatrist or Tribunal is not able to determine </w:t>
      </w:r>
      <w:r w:rsidR="007560D0">
        <w:t>a</w:t>
      </w:r>
      <w:r w:rsidR="00B44789">
        <w:t xml:space="preserve"> </w:t>
      </w:r>
      <w:r w:rsidR="00757A48">
        <w:t>person’s</w:t>
      </w:r>
      <w:r w:rsidR="00B44789">
        <w:t xml:space="preserve"> will and preferences, the authorised psychiatrist should give effect to what the authorised psychiatrist believes </w:t>
      </w:r>
      <w:r w:rsidR="007560D0">
        <w:t>a</w:t>
      </w:r>
      <w:r w:rsidR="00B44789">
        <w:t xml:space="preserve"> </w:t>
      </w:r>
      <w:r w:rsidR="00757A48">
        <w:t>person’s</w:t>
      </w:r>
      <w:r w:rsidR="00B44789">
        <w:t xml:space="preserve"> will and preferences are likely to be, based on all the information available</w:t>
      </w:r>
      <w:r w:rsidR="00F36780">
        <w:t>, as far as practicable in the circumstances.</w:t>
      </w:r>
      <w:r w:rsidR="007560D0">
        <w:t xml:space="preserve"> </w:t>
      </w:r>
      <w:r w:rsidR="00B44789">
        <w:t xml:space="preserve">If the authorised psychiatrist or Tribunal is not able to determine </w:t>
      </w:r>
      <w:r w:rsidR="007560D0">
        <w:t>a</w:t>
      </w:r>
      <w:r w:rsidR="00B44789">
        <w:t xml:space="preserve"> </w:t>
      </w:r>
      <w:r w:rsidR="00757A48">
        <w:t>person’s</w:t>
      </w:r>
      <w:r w:rsidR="00B44789">
        <w:t xml:space="preserve"> likely will and preferences, they should </w:t>
      </w:r>
      <w:r w:rsidR="003A1BC9">
        <w:t>choose</w:t>
      </w:r>
      <w:r w:rsidR="007560D0">
        <w:t xml:space="preserve"> the least restrictive treatment</w:t>
      </w:r>
      <w:r w:rsidR="007402D5">
        <w:t>.</w:t>
      </w:r>
      <w:r w:rsidR="007560D0">
        <w:t xml:space="preserve"> A</w:t>
      </w:r>
      <w:r w:rsidR="00B44789">
        <w:t xml:space="preserve"> patient’s will and preferences should only be </w:t>
      </w:r>
      <w:r w:rsidR="004B1F23">
        <w:t>overridden</w:t>
      </w:r>
      <w:r w:rsidR="00B44789">
        <w:t xml:space="preserve"> </w:t>
      </w:r>
      <w:r w:rsidR="007560D0">
        <w:t>where</w:t>
      </w:r>
      <w:r w:rsidR="00B44789">
        <w:t xml:space="preserve"> necessary to prevent serious harm</w:t>
      </w:r>
      <w:r w:rsidR="007560D0">
        <w:t>, with the least restrictive means adopted to achieve this aim.</w:t>
      </w:r>
    </w:p>
    <w:p w14:paraId="556EA973" w14:textId="5F9BC6A9" w:rsidR="00230E6D" w:rsidRPr="001028B6" w:rsidRDefault="003C1CF3" w:rsidP="002915D4">
      <w:pPr>
        <w:shd w:val="clear" w:color="auto" w:fill="DEEAF6" w:themeFill="accent5" w:themeFillTint="33"/>
        <w:spacing w:before="240" w:line="240" w:lineRule="auto"/>
        <w:ind w:left="3119" w:hanging="2693"/>
      </w:pPr>
      <w:bookmarkStart w:id="2325" w:name="_Toc41325356"/>
      <w:bookmarkStart w:id="2326" w:name="_Toc41332805"/>
      <w:bookmarkStart w:id="2327" w:name="_Toc41411948"/>
      <w:r w:rsidRPr="00B9060C">
        <w:rPr>
          <w:b/>
          <w:bCs/>
        </w:rPr>
        <w:t xml:space="preserve">Recommendation </w:t>
      </w:r>
      <w:r>
        <w:rPr>
          <w:b/>
          <w:bCs/>
        </w:rPr>
        <w:t xml:space="preserve">20: </w:t>
      </w:r>
      <w:r w:rsidR="00BF5882">
        <w:rPr>
          <w:b/>
          <w:bCs/>
        </w:rPr>
        <w:tab/>
      </w:r>
      <w:r w:rsidR="007560D0" w:rsidRPr="003C1CF3">
        <w:rPr>
          <w:b/>
          <w:bCs/>
        </w:rPr>
        <w:t>Update s</w:t>
      </w:r>
      <w:r w:rsidR="00230E6D" w:rsidRPr="003C1CF3">
        <w:rPr>
          <w:b/>
          <w:bCs/>
        </w:rPr>
        <w:t>ubstitute decision-making framework</w:t>
      </w:r>
      <w:r w:rsidR="007560D0" w:rsidRPr="003C1CF3">
        <w:rPr>
          <w:b/>
          <w:bCs/>
        </w:rPr>
        <w:t xml:space="preserve"> in the Mental Health Act</w:t>
      </w:r>
      <w:bookmarkEnd w:id="2325"/>
      <w:bookmarkEnd w:id="2326"/>
      <w:bookmarkEnd w:id="2327"/>
    </w:p>
    <w:p w14:paraId="2F33EF1A" w14:textId="4723089C" w:rsidR="004573C5" w:rsidRPr="003C1CF3" w:rsidRDefault="00370F0D" w:rsidP="002915D4">
      <w:pPr>
        <w:shd w:val="clear" w:color="auto" w:fill="DEEAF6" w:themeFill="accent5" w:themeFillTint="33"/>
        <w:ind w:left="426"/>
      </w:pPr>
      <w:r w:rsidRPr="003C1CF3">
        <w:t xml:space="preserve">The Victorian Government should amend the Mental Health Act to </w:t>
      </w:r>
      <w:r w:rsidR="00AE03A9" w:rsidRPr="003C1CF3">
        <w:t xml:space="preserve">make the substituted decision-making framework consistent with the </w:t>
      </w:r>
      <w:r w:rsidR="00AE03A9" w:rsidRPr="002915D4">
        <w:t>Guardianship and Administration Act</w:t>
      </w:r>
      <w:r w:rsidR="00C543C1" w:rsidRPr="002915D4">
        <w:t xml:space="preserve"> </w:t>
      </w:r>
      <w:r w:rsidR="00592E02" w:rsidRPr="002915D4">
        <w:t>2019</w:t>
      </w:r>
      <w:r w:rsidR="00592E02" w:rsidRPr="003C1CF3">
        <w:t xml:space="preserve"> (Vic) </w:t>
      </w:r>
      <w:r w:rsidR="00C543C1" w:rsidRPr="003C1CF3">
        <w:t xml:space="preserve">by </w:t>
      </w:r>
      <w:r w:rsidR="00592E02" w:rsidRPr="003C1CF3">
        <w:t>requiring</w:t>
      </w:r>
      <w:r w:rsidR="00C543C1" w:rsidRPr="003C1CF3">
        <w:t xml:space="preserve"> a substitute decision-maker </w:t>
      </w:r>
      <w:r w:rsidR="00592E02" w:rsidRPr="003C1CF3">
        <w:t>to</w:t>
      </w:r>
      <w:r w:rsidR="00C543C1" w:rsidRPr="003C1CF3">
        <w:t xml:space="preserve"> give all practical and appropriate effect to a person’s will and preference</w:t>
      </w:r>
      <w:r w:rsidR="00AE03A9" w:rsidRPr="003C1CF3">
        <w:t>.</w:t>
      </w:r>
    </w:p>
    <w:p w14:paraId="737BAEEB" w14:textId="60163295" w:rsidR="009C39AB" w:rsidRPr="009F3147" w:rsidRDefault="009C39AB" w:rsidP="009C39AB">
      <w:pPr>
        <w:pStyle w:val="Heading3"/>
        <w:rPr>
          <w:b w:val="0"/>
          <w:bCs w:val="0"/>
        </w:rPr>
      </w:pPr>
      <w:r>
        <w:t>Presumption that treatment criteria do not apply</w:t>
      </w:r>
    </w:p>
    <w:p w14:paraId="6AF26A0D" w14:textId="77777777" w:rsidR="009C39AB" w:rsidRDefault="009C39AB" w:rsidP="009C39AB">
      <w:pPr>
        <w:rPr>
          <w:lang w:eastAsia="en-AU"/>
        </w:rPr>
      </w:pPr>
      <w:r>
        <w:rPr>
          <w:lang w:eastAsia="en-AU"/>
        </w:rPr>
        <w:t xml:space="preserve">In our practice experience, the introduction of an explicit presumption that a person has capacity to give informed consent has been a positive development in Victorian mental health law. We see the benefit of this presumption in ECT </w:t>
      </w:r>
      <w:proofErr w:type="gramStart"/>
      <w:r>
        <w:rPr>
          <w:lang w:eastAsia="en-AU"/>
        </w:rPr>
        <w:t>hearings in particular</w:t>
      </w:r>
      <w:proofErr w:type="gramEnd"/>
      <w:r>
        <w:rPr>
          <w:lang w:eastAsia="en-AU"/>
        </w:rPr>
        <w:t>.</w:t>
      </w:r>
    </w:p>
    <w:p w14:paraId="70DB5826" w14:textId="77777777" w:rsidR="009C39AB" w:rsidRDefault="009C39AB" w:rsidP="00E350A3">
      <w:pPr>
        <w:pageBreakBefore/>
        <w:rPr>
          <w:lang w:eastAsia="en-AU"/>
        </w:rPr>
      </w:pPr>
      <w:r>
        <w:rPr>
          <w:lang w:eastAsia="en-AU"/>
        </w:rPr>
        <w:lastRenderedPageBreak/>
        <w:t>Despite the objective for the Mental Health Act to provide for treatment in the least restrictive way possible,</w:t>
      </w:r>
      <w:r>
        <w:rPr>
          <w:rStyle w:val="FootnoteReference"/>
          <w:lang w:eastAsia="en-AU"/>
        </w:rPr>
        <w:footnoteReference w:id="82"/>
      </w:r>
      <w:r>
        <w:rPr>
          <w:lang w:eastAsia="en-AU"/>
        </w:rPr>
        <w:t xml:space="preserve"> in our experience, services and the Tribunal often default to compulsory treatment. A </w:t>
      </w:r>
      <w:r w:rsidRPr="1BA201BE">
        <w:rPr>
          <w:lang w:eastAsia="en-AU"/>
        </w:rPr>
        <w:t xml:space="preserve">presumption that </w:t>
      </w:r>
      <w:r>
        <w:rPr>
          <w:lang w:eastAsia="en-AU"/>
        </w:rPr>
        <w:t>the treatment criteria do not apply</w:t>
      </w:r>
      <w:r w:rsidRPr="1BA201BE">
        <w:rPr>
          <w:lang w:eastAsia="en-AU"/>
        </w:rPr>
        <w:t>, equivalent to the presumption of capaci</w:t>
      </w:r>
      <w:r w:rsidRPr="0B1A75DF">
        <w:rPr>
          <w:lang w:eastAsia="en-AU"/>
        </w:rPr>
        <w:t xml:space="preserve">ty, </w:t>
      </w:r>
      <w:r>
        <w:rPr>
          <w:lang w:eastAsia="en-AU"/>
        </w:rPr>
        <w:t>c</w:t>
      </w:r>
      <w:r w:rsidRPr="0B1A75DF">
        <w:rPr>
          <w:lang w:eastAsia="en-AU"/>
        </w:rPr>
        <w:t xml:space="preserve">ould </w:t>
      </w:r>
      <w:r>
        <w:rPr>
          <w:lang w:eastAsia="en-AU"/>
        </w:rPr>
        <w:t xml:space="preserve">play a role in reducing the high rates of </w:t>
      </w:r>
      <w:r w:rsidRPr="0B1A75DF">
        <w:rPr>
          <w:lang w:eastAsia="en-AU"/>
        </w:rPr>
        <w:t>compulsory treatment</w:t>
      </w:r>
      <w:r>
        <w:rPr>
          <w:lang w:eastAsia="en-AU"/>
        </w:rPr>
        <w:t xml:space="preserve"> in Victoria</w:t>
      </w:r>
      <w:r w:rsidRPr="0B1A75DF">
        <w:rPr>
          <w:lang w:eastAsia="en-AU"/>
        </w:rPr>
        <w:t>.</w:t>
      </w:r>
    </w:p>
    <w:p w14:paraId="29D1AB82" w14:textId="29D46A1F" w:rsidR="009C39AB" w:rsidRPr="001028B6" w:rsidRDefault="003C1CF3" w:rsidP="002915D4">
      <w:pPr>
        <w:shd w:val="clear" w:color="auto" w:fill="DEEAF6" w:themeFill="accent5" w:themeFillTint="33"/>
        <w:spacing w:before="240" w:line="240" w:lineRule="auto"/>
        <w:ind w:left="3119" w:hanging="2693"/>
      </w:pPr>
      <w:bookmarkStart w:id="2328" w:name="_Toc41411949"/>
      <w:r w:rsidRPr="00B9060C">
        <w:rPr>
          <w:b/>
          <w:bCs/>
        </w:rPr>
        <w:t xml:space="preserve">Recommendation </w:t>
      </w:r>
      <w:r>
        <w:rPr>
          <w:b/>
          <w:bCs/>
        </w:rPr>
        <w:t>21:</w:t>
      </w:r>
      <w:r w:rsidR="00BF5882">
        <w:rPr>
          <w:b/>
          <w:bCs/>
        </w:rPr>
        <w:tab/>
      </w:r>
      <w:r w:rsidR="009C39AB" w:rsidRPr="003C1CF3">
        <w:rPr>
          <w:b/>
          <w:bCs/>
        </w:rPr>
        <w:t>Insert a presumption that Mental Health Act treatment criteria do not apply</w:t>
      </w:r>
      <w:bookmarkEnd w:id="2328"/>
    </w:p>
    <w:p w14:paraId="6471B426" w14:textId="1CBED9E0" w:rsidR="009C39AB" w:rsidRPr="003C1CF3" w:rsidRDefault="009C39AB" w:rsidP="002915D4">
      <w:pPr>
        <w:shd w:val="clear" w:color="auto" w:fill="DEEAF6" w:themeFill="accent5" w:themeFillTint="33"/>
        <w:ind w:left="426"/>
      </w:pPr>
      <w:r w:rsidRPr="003C1CF3">
        <w:t>The Victorian Government should amend the Mental Health Act to include a requirement that a person determining whether the treatment criteria apply must presume that each of the treatment criteria do</w:t>
      </w:r>
      <w:r w:rsidR="00EE1355" w:rsidRPr="003C1CF3">
        <w:t>es</w:t>
      </w:r>
      <w:r w:rsidRPr="003C1CF3">
        <w:t xml:space="preserve"> not apply.</w:t>
      </w:r>
    </w:p>
    <w:p w14:paraId="5D4C2DC0" w14:textId="045087BC" w:rsidR="003B2C57" w:rsidRDefault="003B2C57" w:rsidP="00C73BD9">
      <w:pPr>
        <w:pStyle w:val="Heading3"/>
      </w:pPr>
      <w:r>
        <w:t>Prospective community treatment orders</w:t>
      </w:r>
    </w:p>
    <w:p w14:paraId="6E92174F" w14:textId="058C829E" w:rsidR="00705C04" w:rsidRDefault="003B2C57" w:rsidP="00705C04">
      <w:pPr>
        <w:rPr>
          <w:lang w:eastAsia="en-AU"/>
        </w:rPr>
      </w:pPr>
      <w:r>
        <w:rPr>
          <w:lang w:eastAsia="en-AU"/>
        </w:rPr>
        <w:t>W</w:t>
      </w:r>
      <w:r w:rsidR="00705C04" w:rsidRPr="00AF22AF">
        <w:rPr>
          <w:lang w:eastAsia="en-AU"/>
        </w:rPr>
        <w:t>here community</w:t>
      </w:r>
      <w:r w:rsidR="00705C04">
        <w:rPr>
          <w:lang w:eastAsia="en-AU"/>
        </w:rPr>
        <w:t>-</w:t>
      </w:r>
      <w:r w:rsidR="00705C04" w:rsidRPr="00AF22AF">
        <w:rPr>
          <w:lang w:eastAsia="en-AU"/>
        </w:rPr>
        <w:t xml:space="preserve">based </w:t>
      </w:r>
      <w:r w:rsidR="00705C04">
        <w:rPr>
          <w:lang w:eastAsia="en-AU"/>
        </w:rPr>
        <w:t xml:space="preserve">supports </w:t>
      </w:r>
      <w:r w:rsidR="00705C04" w:rsidRPr="00AF22AF">
        <w:rPr>
          <w:lang w:eastAsia="en-AU"/>
        </w:rPr>
        <w:t xml:space="preserve">or less restrictive treatment options are </w:t>
      </w:r>
      <w:r w:rsidR="00705C04">
        <w:rPr>
          <w:lang w:eastAsia="en-AU"/>
        </w:rPr>
        <w:t>not available</w:t>
      </w:r>
      <w:r>
        <w:rPr>
          <w:lang w:eastAsia="en-AU"/>
        </w:rPr>
        <w:t>, it limits the ability of the</w:t>
      </w:r>
      <w:r w:rsidRPr="00AF22AF">
        <w:rPr>
          <w:lang w:eastAsia="en-AU"/>
        </w:rPr>
        <w:t xml:space="preserve"> Tribunal to</w:t>
      </w:r>
      <w:r>
        <w:rPr>
          <w:lang w:eastAsia="en-AU"/>
        </w:rPr>
        <w:t xml:space="preserve"> have an</w:t>
      </w:r>
      <w:r w:rsidRPr="00AF22AF">
        <w:rPr>
          <w:lang w:eastAsia="en-AU"/>
        </w:rPr>
        <w:t xml:space="preserve"> impact on service practice or change outcomes for consumers</w:t>
      </w:r>
      <w:r w:rsidR="00705C04" w:rsidRPr="00AF22AF">
        <w:rPr>
          <w:lang w:eastAsia="en-AU"/>
        </w:rPr>
        <w:t xml:space="preserve">. </w:t>
      </w:r>
      <w:r w:rsidR="00B24A1C">
        <w:rPr>
          <w:lang w:eastAsia="en-AU"/>
        </w:rPr>
        <w:t>In our practice experience, i</w:t>
      </w:r>
      <w:r w:rsidR="00705C04" w:rsidRPr="00AF22AF">
        <w:rPr>
          <w:lang w:eastAsia="en-AU"/>
        </w:rPr>
        <w:t xml:space="preserve">t is common for a consumer to be </w:t>
      </w:r>
      <w:r w:rsidR="0AC06019" w:rsidRPr="4B603771">
        <w:rPr>
          <w:lang w:eastAsia="en-AU"/>
        </w:rPr>
        <w:t>clinically</w:t>
      </w:r>
      <w:r w:rsidR="00705C04" w:rsidRPr="00AF22AF">
        <w:rPr>
          <w:lang w:eastAsia="en-AU"/>
        </w:rPr>
        <w:t xml:space="preserve"> ready for community</w:t>
      </w:r>
      <w:r w:rsidR="00705C04">
        <w:rPr>
          <w:lang w:eastAsia="en-AU"/>
        </w:rPr>
        <w:t>-</w:t>
      </w:r>
      <w:r w:rsidR="00705C04" w:rsidRPr="00AF22AF">
        <w:rPr>
          <w:lang w:eastAsia="en-AU"/>
        </w:rPr>
        <w:t>based treatment</w:t>
      </w:r>
      <w:r w:rsidR="00705C04">
        <w:rPr>
          <w:lang w:eastAsia="en-AU"/>
        </w:rPr>
        <w:t>,</w:t>
      </w:r>
      <w:r w:rsidR="00705C04" w:rsidRPr="00AF22AF">
        <w:rPr>
          <w:lang w:eastAsia="en-AU"/>
        </w:rPr>
        <w:t xml:space="preserve"> but accommodation or other supports are not</w:t>
      </w:r>
      <w:r w:rsidR="00705C04">
        <w:rPr>
          <w:lang w:eastAsia="en-AU"/>
        </w:rPr>
        <w:t xml:space="preserve"> yet</w:t>
      </w:r>
      <w:r w:rsidR="00705C04" w:rsidRPr="00AF22AF">
        <w:rPr>
          <w:lang w:eastAsia="en-AU"/>
        </w:rPr>
        <w:t xml:space="preserve"> in place</w:t>
      </w:r>
      <w:r w:rsidR="00705C04">
        <w:rPr>
          <w:lang w:eastAsia="en-AU"/>
        </w:rPr>
        <w:t xml:space="preserve">. In these cases, </w:t>
      </w:r>
      <w:r w:rsidR="00705C04" w:rsidRPr="00AF22AF">
        <w:rPr>
          <w:lang w:eastAsia="en-AU"/>
        </w:rPr>
        <w:t xml:space="preserve">the Tribunal </w:t>
      </w:r>
      <w:r w:rsidR="00705C04">
        <w:rPr>
          <w:lang w:eastAsia="en-AU"/>
        </w:rPr>
        <w:t>generally</w:t>
      </w:r>
      <w:r w:rsidR="00705C04" w:rsidRPr="00AF22AF">
        <w:rPr>
          <w:lang w:eastAsia="en-AU"/>
        </w:rPr>
        <w:t xml:space="preserve"> </w:t>
      </w:r>
      <w:r w:rsidR="7A381AED" w:rsidRPr="4B603771">
        <w:rPr>
          <w:lang w:eastAsia="en-AU"/>
        </w:rPr>
        <w:t>makes</w:t>
      </w:r>
      <w:r w:rsidR="00705C04">
        <w:rPr>
          <w:lang w:eastAsia="en-AU"/>
        </w:rPr>
        <w:t xml:space="preserve"> an</w:t>
      </w:r>
      <w:r w:rsidR="00705C04" w:rsidRPr="00AF22AF">
        <w:rPr>
          <w:lang w:eastAsia="en-AU"/>
        </w:rPr>
        <w:t xml:space="preserve"> inpatient </w:t>
      </w:r>
      <w:r w:rsidR="00CD317D">
        <w:rPr>
          <w:lang w:eastAsia="en-AU"/>
        </w:rPr>
        <w:t xml:space="preserve">treatment </w:t>
      </w:r>
      <w:r w:rsidR="00705C04" w:rsidRPr="00AF22AF">
        <w:rPr>
          <w:lang w:eastAsia="en-AU"/>
        </w:rPr>
        <w:t>order.</w:t>
      </w:r>
      <w:r w:rsidR="00705C04">
        <w:rPr>
          <w:rStyle w:val="FootnoteReference"/>
          <w:lang w:eastAsia="en-AU"/>
        </w:rPr>
        <w:footnoteReference w:id="83"/>
      </w:r>
      <w:r w:rsidR="00705C04" w:rsidRPr="00AF22AF">
        <w:rPr>
          <w:lang w:eastAsia="en-AU"/>
        </w:rPr>
        <w:t xml:space="preserve"> This order may have a duration of </w:t>
      </w:r>
      <w:r w:rsidR="00705C04">
        <w:rPr>
          <w:lang w:eastAsia="en-AU"/>
        </w:rPr>
        <w:t xml:space="preserve">many </w:t>
      </w:r>
      <w:r w:rsidR="00705C04" w:rsidRPr="00AF22AF">
        <w:rPr>
          <w:lang w:eastAsia="en-AU"/>
        </w:rPr>
        <w:t>weeks</w:t>
      </w:r>
      <w:r w:rsidR="00705C04">
        <w:rPr>
          <w:lang w:eastAsia="en-AU"/>
        </w:rPr>
        <w:t xml:space="preserve"> if the Tribunal is satisfied the </w:t>
      </w:r>
      <w:r w:rsidR="00B24A1C">
        <w:rPr>
          <w:lang w:eastAsia="en-AU"/>
        </w:rPr>
        <w:t xml:space="preserve">Mental Health Act </w:t>
      </w:r>
      <w:r w:rsidR="00705C04">
        <w:rPr>
          <w:lang w:eastAsia="en-AU"/>
        </w:rPr>
        <w:t>criteria are likely to continue to be met for a longer period, even if inpatient treatment is only required in the very short term</w:t>
      </w:r>
      <w:r w:rsidR="00C71250">
        <w:rPr>
          <w:lang w:eastAsia="en-AU"/>
        </w:rPr>
        <w:t>.</w:t>
      </w:r>
      <w:r w:rsidR="00C71250">
        <w:rPr>
          <w:rStyle w:val="FootnoteReference"/>
          <w:lang w:eastAsia="en-AU"/>
        </w:rPr>
        <w:footnoteReference w:id="84"/>
      </w:r>
    </w:p>
    <w:p w14:paraId="6B2E9A4B" w14:textId="189BCEF2" w:rsidR="00694753" w:rsidRDefault="00705C04" w:rsidP="00705C04">
      <w:pPr>
        <w:rPr>
          <w:lang w:eastAsia="en-AU"/>
        </w:rPr>
      </w:pPr>
      <w:r>
        <w:rPr>
          <w:lang w:eastAsia="en-AU"/>
        </w:rPr>
        <w:t xml:space="preserve">Under the </w:t>
      </w:r>
      <w:r w:rsidR="00385E3B">
        <w:rPr>
          <w:lang w:eastAsia="en-AU"/>
        </w:rPr>
        <w:t>previous</w:t>
      </w:r>
      <w:r>
        <w:rPr>
          <w:lang w:eastAsia="en-AU"/>
        </w:rPr>
        <w:t xml:space="preserve"> </w:t>
      </w:r>
      <w:r w:rsidRPr="00AF22AF">
        <w:rPr>
          <w:i/>
          <w:iCs/>
          <w:lang w:eastAsia="en-AU"/>
        </w:rPr>
        <w:t>Mental Health Act 1986</w:t>
      </w:r>
      <w:r>
        <w:rPr>
          <w:lang w:eastAsia="en-AU"/>
        </w:rPr>
        <w:t xml:space="preserve"> (Vic), the Mental Health Review Board had the power to order the authorised psychiatrist to make a community treatment order within a reasonable period specified by the Board</w:t>
      </w:r>
      <w:r w:rsidR="00385E3B">
        <w:rPr>
          <w:lang w:eastAsia="en-AU"/>
        </w:rPr>
        <w:t>,</w:t>
      </w:r>
      <w:r>
        <w:rPr>
          <w:rStyle w:val="FootnoteReference"/>
          <w:lang w:eastAsia="en-AU"/>
        </w:rPr>
        <w:footnoteReference w:id="85"/>
      </w:r>
      <w:r>
        <w:rPr>
          <w:lang w:eastAsia="en-AU"/>
        </w:rPr>
        <w:t xml:space="preserve"> but this power was not extended to the Tribunal </w:t>
      </w:r>
      <w:r w:rsidR="00385E3B">
        <w:rPr>
          <w:lang w:eastAsia="en-AU"/>
        </w:rPr>
        <w:t>under</w:t>
      </w:r>
      <w:r>
        <w:rPr>
          <w:lang w:eastAsia="en-AU"/>
        </w:rPr>
        <w:t xml:space="preserve"> the </w:t>
      </w:r>
      <w:r w:rsidR="00385E3B">
        <w:rPr>
          <w:lang w:eastAsia="en-AU"/>
        </w:rPr>
        <w:t>current</w:t>
      </w:r>
      <w:r>
        <w:rPr>
          <w:lang w:eastAsia="en-AU"/>
        </w:rPr>
        <w:t xml:space="preserve"> </w:t>
      </w:r>
      <w:r w:rsidR="00980718">
        <w:rPr>
          <w:lang w:eastAsia="en-AU"/>
        </w:rPr>
        <w:t>Mental Health Act</w:t>
      </w:r>
      <w:r>
        <w:rPr>
          <w:lang w:eastAsia="en-AU"/>
        </w:rPr>
        <w:t>.</w:t>
      </w:r>
    </w:p>
    <w:p w14:paraId="63058702" w14:textId="7D6D847A" w:rsidR="00A402B4" w:rsidRPr="003C1CF3" w:rsidRDefault="003C1CF3" w:rsidP="002915D4">
      <w:pPr>
        <w:shd w:val="clear" w:color="auto" w:fill="DEEAF6" w:themeFill="accent5" w:themeFillTint="33"/>
        <w:spacing w:line="240" w:lineRule="auto"/>
        <w:ind w:left="3119" w:hanging="2693"/>
      </w:pPr>
      <w:bookmarkStart w:id="2329" w:name="_Toc40355761"/>
      <w:bookmarkStart w:id="2330" w:name="_Toc41325357"/>
      <w:bookmarkStart w:id="2331" w:name="_Toc41332806"/>
      <w:bookmarkStart w:id="2332" w:name="_Toc41411950"/>
      <w:r w:rsidRPr="00B9060C">
        <w:rPr>
          <w:b/>
          <w:bCs/>
        </w:rPr>
        <w:t xml:space="preserve">Recommendation </w:t>
      </w:r>
      <w:r>
        <w:rPr>
          <w:b/>
          <w:bCs/>
        </w:rPr>
        <w:t xml:space="preserve">22: </w:t>
      </w:r>
      <w:r w:rsidR="00BF5882">
        <w:rPr>
          <w:b/>
          <w:bCs/>
        </w:rPr>
        <w:tab/>
      </w:r>
      <w:r w:rsidR="007560D0" w:rsidRPr="003C1CF3">
        <w:rPr>
          <w:b/>
          <w:bCs/>
        </w:rPr>
        <w:t xml:space="preserve">Empower the Mental Health </w:t>
      </w:r>
      <w:r w:rsidR="00A402B4" w:rsidRPr="003C1CF3">
        <w:rPr>
          <w:b/>
          <w:bCs/>
        </w:rPr>
        <w:t>Tribunal to make prospective community treatment orders</w:t>
      </w:r>
      <w:bookmarkEnd w:id="2329"/>
      <w:bookmarkEnd w:id="2330"/>
      <w:bookmarkEnd w:id="2331"/>
      <w:bookmarkEnd w:id="2332"/>
    </w:p>
    <w:p w14:paraId="6619535B" w14:textId="3F42DE81" w:rsidR="00A402B4" w:rsidRPr="003C1CF3" w:rsidRDefault="00A402B4" w:rsidP="002915D4">
      <w:pPr>
        <w:shd w:val="clear" w:color="auto" w:fill="DEEAF6" w:themeFill="accent5" w:themeFillTint="33"/>
        <w:ind w:left="426"/>
      </w:pPr>
      <w:r w:rsidRPr="003C1CF3">
        <w:t>The Victorian Government should amend the Mental Health Act to allow the Mental Health Tribunal to make a</w:t>
      </w:r>
      <w:r w:rsidR="00C04FE3" w:rsidRPr="003C1CF3">
        <w:t xml:space="preserve">n order that the </w:t>
      </w:r>
      <w:r w:rsidR="009E364A" w:rsidRPr="003C1CF3">
        <w:t xml:space="preserve">authorised psychiatrist vary the order to </w:t>
      </w:r>
      <w:r w:rsidRPr="003C1CF3">
        <w:t xml:space="preserve">a Community Treatment Order </w:t>
      </w:r>
      <w:r w:rsidR="009E364A" w:rsidRPr="003C1CF3">
        <w:t xml:space="preserve">within a period specified by the </w:t>
      </w:r>
      <w:r w:rsidR="00BF387D" w:rsidRPr="003C1CF3">
        <w:t xml:space="preserve">Mental Health </w:t>
      </w:r>
      <w:r w:rsidR="009E364A" w:rsidRPr="003C1CF3">
        <w:t>Tribunal</w:t>
      </w:r>
      <w:r w:rsidRPr="003C1CF3">
        <w:t>.</w:t>
      </w:r>
    </w:p>
    <w:p w14:paraId="71D380D0" w14:textId="10BCCCCD" w:rsidR="00705C04" w:rsidRDefault="00FD0A84" w:rsidP="00C73BD9">
      <w:pPr>
        <w:pStyle w:val="Heading3"/>
      </w:pPr>
      <w:r>
        <w:t>Oversight</w:t>
      </w:r>
      <w:r w:rsidR="00705C04">
        <w:t xml:space="preserve"> of Mental Health Act decisions</w:t>
      </w:r>
    </w:p>
    <w:p w14:paraId="0520A391" w14:textId="1C5D3616" w:rsidR="00877507" w:rsidRDefault="00877507" w:rsidP="00705C04">
      <w:pPr>
        <w:rPr>
          <w:lang w:eastAsia="en-AU"/>
        </w:rPr>
      </w:pPr>
      <w:r>
        <w:rPr>
          <w:lang w:eastAsia="en-AU"/>
        </w:rPr>
        <w:t xml:space="preserve">The Mental Health Act gives public authorities </w:t>
      </w:r>
      <w:r w:rsidR="00F81947">
        <w:rPr>
          <w:lang w:eastAsia="en-AU"/>
        </w:rPr>
        <w:t xml:space="preserve">enormous power greatly affecting the fundamental rights of individuals. In some </w:t>
      </w:r>
      <w:r w:rsidR="00F130AB">
        <w:rPr>
          <w:lang w:eastAsia="en-AU"/>
        </w:rPr>
        <w:t>instances,</w:t>
      </w:r>
      <w:r w:rsidR="00F81947">
        <w:rPr>
          <w:lang w:eastAsia="en-AU"/>
        </w:rPr>
        <w:t xml:space="preserve"> these</w:t>
      </w:r>
      <w:r w:rsidR="00F130AB">
        <w:rPr>
          <w:lang w:eastAsia="en-AU"/>
        </w:rPr>
        <w:t xml:space="preserve"> decisions</w:t>
      </w:r>
      <w:r w:rsidR="00F81947">
        <w:rPr>
          <w:lang w:eastAsia="en-AU"/>
        </w:rPr>
        <w:t xml:space="preserve"> are subject to review</w:t>
      </w:r>
      <w:r w:rsidR="00475BE8">
        <w:rPr>
          <w:lang w:eastAsia="en-AU"/>
        </w:rPr>
        <w:t>,</w:t>
      </w:r>
      <w:r w:rsidR="00475BE8">
        <w:rPr>
          <w:rStyle w:val="FootnoteReference"/>
          <w:lang w:eastAsia="en-AU"/>
        </w:rPr>
        <w:footnoteReference w:id="86"/>
      </w:r>
      <w:r w:rsidR="00475BE8">
        <w:rPr>
          <w:lang w:eastAsia="en-AU"/>
        </w:rPr>
        <w:t xml:space="preserve"> however many decisions are not reviewable.</w:t>
      </w:r>
    </w:p>
    <w:p w14:paraId="5A01A8B1" w14:textId="2A90C7F6" w:rsidR="00705C04" w:rsidRDefault="00705C04" w:rsidP="006C0364">
      <w:pPr>
        <w:keepNext/>
        <w:rPr>
          <w:lang w:eastAsia="en-AU"/>
        </w:rPr>
      </w:pPr>
      <w:r w:rsidRPr="00B00BD6">
        <w:rPr>
          <w:lang w:eastAsia="en-AU"/>
        </w:rPr>
        <w:t>Consumer</w:t>
      </w:r>
      <w:r w:rsidR="00352587">
        <w:rPr>
          <w:lang w:eastAsia="en-AU"/>
        </w:rPr>
        <w:t>s’</w:t>
      </w:r>
      <w:r w:rsidRPr="00B00BD6">
        <w:rPr>
          <w:lang w:eastAsia="en-AU"/>
        </w:rPr>
        <w:t xml:space="preserve"> rights should be subject to greater systemic accountability and have enforceability options for </w:t>
      </w:r>
      <w:r w:rsidR="003D61A4" w:rsidRPr="00B00BD6">
        <w:rPr>
          <w:lang w:eastAsia="en-AU"/>
        </w:rPr>
        <w:t>affected</w:t>
      </w:r>
      <w:r w:rsidR="003D61A4">
        <w:rPr>
          <w:lang w:eastAsia="en-AU"/>
        </w:rPr>
        <w:t xml:space="preserve"> </w:t>
      </w:r>
      <w:r w:rsidR="00850482">
        <w:rPr>
          <w:lang w:eastAsia="en-AU"/>
        </w:rPr>
        <w:t>consumers</w:t>
      </w:r>
      <w:r w:rsidRPr="00B00BD6">
        <w:rPr>
          <w:lang w:eastAsia="en-AU"/>
        </w:rPr>
        <w:t>.</w:t>
      </w:r>
      <w:r>
        <w:rPr>
          <w:lang w:eastAsia="en-AU"/>
        </w:rPr>
        <w:t xml:space="preserve"> Currently, the Mental Health Act creates rights for </w:t>
      </w:r>
      <w:r w:rsidR="004C1588">
        <w:rPr>
          <w:lang w:eastAsia="en-AU"/>
        </w:rPr>
        <w:t>consumers</w:t>
      </w:r>
      <w:r>
        <w:rPr>
          <w:lang w:eastAsia="en-AU"/>
        </w:rPr>
        <w:t xml:space="preserve"> and </w:t>
      </w:r>
      <w:r>
        <w:rPr>
          <w:lang w:eastAsia="en-AU"/>
        </w:rPr>
        <w:lastRenderedPageBreak/>
        <w:t>guidelines for supported decision-making, but there are no mechanisms for accountability.</w:t>
      </w:r>
      <w:r w:rsidRPr="00B00BD6">
        <w:rPr>
          <w:lang w:eastAsia="en-AU"/>
        </w:rPr>
        <w:t xml:space="preserve"> </w:t>
      </w:r>
      <w:r w:rsidR="009621F8">
        <w:rPr>
          <w:lang w:eastAsia="en-AU"/>
        </w:rPr>
        <w:t xml:space="preserve">For example, </w:t>
      </w:r>
      <w:r w:rsidR="00F56AB5">
        <w:rPr>
          <w:lang w:eastAsia="en-AU"/>
        </w:rPr>
        <w:t>there is currently no oversight of</w:t>
      </w:r>
      <w:r w:rsidR="00C73BD9">
        <w:rPr>
          <w:lang w:eastAsia="en-AU"/>
        </w:rPr>
        <w:t xml:space="preserve"> </w:t>
      </w:r>
      <w:r w:rsidR="00BC1FF6">
        <w:rPr>
          <w:lang w:eastAsia="en-AU"/>
        </w:rPr>
        <w:t>decisions</w:t>
      </w:r>
      <w:r w:rsidR="009621F8">
        <w:rPr>
          <w:lang w:eastAsia="en-AU"/>
        </w:rPr>
        <w:t>:</w:t>
      </w:r>
    </w:p>
    <w:p w14:paraId="0E72ADD9" w14:textId="25A08C6E" w:rsidR="009621F8" w:rsidRPr="00B00BD6" w:rsidRDefault="00025509" w:rsidP="00904F90">
      <w:pPr>
        <w:pStyle w:val="Listbulletcoloured"/>
      </w:pPr>
      <w:r>
        <w:t>r</w:t>
      </w:r>
      <w:r w:rsidR="009621F8" w:rsidRPr="00B00BD6">
        <w:t>estrict</w:t>
      </w:r>
      <w:r w:rsidR="009621F8">
        <w:t>ing</w:t>
      </w:r>
      <w:r w:rsidR="009621F8" w:rsidRPr="00B00BD6">
        <w:t xml:space="preserve"> a consumer’s </w:t>
      </w:r>
      <w:r w:rsidR="002F73E9">
        <w:t>right</w:t>
      </w:r>
      <w:r w:rsidR="002F73E9" w:rsidRPr="00B00BD6">
        <w:t xml:space="preserve"> </w:t>
      </w:r>
      <w:r w:rsidR="009621F8" w:rsidRPr="00B00BD6">
        <w:t>to communicat</w:t>
      </w:r>
      <w:r w:rsidR="002F73E9">
        <w:t>e</w:t>
      </w:r>
      <w:r w:rsidR="009621F8" w:rsidRPr="00B00BD6">
        <w:t>;</w:t>
      </w:r>
      <w:r w:rsidR="002F73E9">
        <w:rPr>
          <w:rStyle w:val="FootnoteReference"/>
        </w:rPr>
        <w:footnoteReference w:id="87"/>
      </w:r>
    </w:p>
    <w:p w14:paraId="608419D9" w14:textId="1B381508" w:rsidR="009621F8" w:rsidRDefault="00025509" w:rsidP="00904F90">
      <w:pPr>
        <w:pStyle w:val="Listbulletcoloured"/>
      </w:pPr>
      <w:r>
        <w:t>m</w:t>
      </w:r>
      <w:r w:rsidR="009621F8" w:rsidRPr="00B00BD6">
        <w:t>ak</w:t>
      </w:r>
      <w:r w:rsidR="009621F8">
        <w:t xml:space="preserve">ing </w:t>
      </w:r>
      <w:r w:rsidR="009621F8" w:rsidRPr="00B00BD6">
        <w:t>a treatment decision contrary to an advance statement;</w:t>
      </w:r>
    </w:p>
    <w:p w14:paraId="158F446A" w14:textId="518B88CE" w:rsidR="008F6698" w:rsidRDefault="00025509" w:rsidP="00904F90">
      <w:pPr>
        <w:pStyle w:val="Listbulletcoloured"/>
      </w:pPr>
      <w:r>
        <w:t>m</w:t>
      </w:r>
      <w:r w:rsidR="00C87B1B">
        <w:t xml:space="preserve">aking a substitute </w:t>
      </w:r>
      <w:r w:rsidR="509ECE20">
        <w:t xml:space="preserve">treatment </w:t>
      </w:r>
      <w:r w:rsidR="00C87B1B">
        <w:t>decision under section 71</w:t>
      </w:r>
      <w:r w:rsidR="354F12CC">
        <w:t xml:space="preserve"> of the Mental Health Act</w:t>
      </w:r>
      <w:r w:rsidR="009B3DA7">
        <w:t>;</w:t>
      </w:r>
    </w:p>
    <w:p w14:paraId="2E999E70" w14:textId="710C29D0" w:rsidR="009621F8" w:rsidRPr="00B00BD6" w:rsidRDefault="00025509" w:rsidP="00904F90">
      <w:pPr>
        <w:pStyle w:val="Listbulletcoloured"/>
      </w:pPr>
      <w:r>
        <w:t xml:space="preserve">a </w:t>
      </w:r>
      <w:r w:rsidR="009621F8">
        <w:t>decision to transfer a person to or from a SECU</w:t>
      </w:r>
      <w:r w:rsidR="00C400EA">
        <w:t>;</w:t>
      </w:r>
      <w:r w:rsidR="009B3DA7">
        <w:rPr>
          <w:rStyle w:val="FootnoteReference"/>
        </w:rPr>
        <w:footnoteReference w:id="88"/>
      </w:r>
      <w:r w:rsidR="009621F8">
        <w:t xml:space="preserve"> and</w:t>
      </w:r>
      <w:r w:rsidR="009621F8" w:rsidRPr="00B00BD6">
        <w:t xml:space="preserve"> </w:t>
      </w:r>
    </w:p>
    <w:p w14:paraId="21E2A222" w14:textId="7AAD0EBD" w:rsidR="009621F8" w:rsidRDefault="00025509" w:rsidP="00904F90">
      <w:pPr>
        <w:pStyle w:val="Listbulletcoloured"/>
      </w:pPr>
      <w:r>
        <w:t>r</w:t>
      </w:r>
      <w:r w:rsidR="009621F8">
        <w:t>efusing</w:t>
      </w:r>
      <w:r w:rsidR="009621F8" w:rsidRPr="00B00BD6">
        <w:t xml:space="preserve"> </w:t>
      </w:r>
      <w:r w:rsidR="38ED1D03">
        <w:t>or revoking</w:t>
      </w:r>
      <w:r w:rsidR="009621F8" w:rsidRPr="00B00BD6">
        <w:t xml:space="preserve"> leave</w:t>
      </w:r>
      <w:r w:rsidR="00CE6553">
        <w:rPr>
          <w:rStyle w:val="FootnoteReference"/>
        </w:rPr>
        <w:footnoteReference w:id="89"/>
      </w:r>
      <w:r w:rsidR="009621F8">
        <w:t>.</w:t>
      </w:r>
    </w:p>
    <w:p w14:paraId="6F5581EA" w14:textId="177EE042" w:rsidR="00872121" w:rsidRDefault="00872121" w:rsidP="009F5ECB">
      <w:pPr>
        <w:rPr>
          <w:lang w:eastAsia="en-AU"/>
        </w:rPr>
      </w:pPr>
      <w:r w:rsidRPr="00872121">
        <w:rPr>
          <w:lang w:eastAsia="en-AU"/>
        </w:rPr>
        <w:t xml:space="preserve">To facilitate greater oversight, services </w:t>
      </w:r>
      <w:r w:rsidR="00AF7C83">
        <w:rPr>
          <w:lang w:eastAsia="en-AU"/>
        </w:rPr>
        <w:t xml:space="preserve">should </w:t>
      </w:r>
      <w:r w:rsidRPr="00872121">
        <w:rPr>
          <w:lang w:eastAsia="en-AU"/>
        </w:rPr>
        <w:t>also be given clear guidance around recording how these decisions are made, including documenting capacity assessments, the person’s views, preferences and recovery goals and how these have been considered as part of the decision-making process.</w:t>
      </w:r>
    </w:p>
    <w:p w14:paraId="0CB17555" w14:textId="60C610B6" w:rsidR="00705C04" w:rsidRPr="001028B6" w:rsidRDefault="003C1CF3" w:rsidP="002915D4">
      <w:pPr>
        <w:shd w:val="clear" w:color="auto" w:fill="DEEAF6" w:themeFill="accent5" w:themeFillTint="33"/>
        <w:ind w:left="426"/>
      </w:pPr>
      <w:bookmarkStart w:id="2333" w:name="_Toc41411951"/>
      <w:r w:rsidRPr="00B9060C">
        <w:rPr>
          <w:b/>
          <w:bCs/>
        </w:rPr>
        <w:t xml:space="preserve">Recommendation </w:t>
      </w:r>
      <w:r>
        <w:rPr>
          <w:b/>
          <w:bCs/>
        </w:rPr>
        <w:t xml:space="preserve">23: </w:t>
      </w:r>
      <w:r w:rsidR="00EC0622">
        <w:rPr>
          <w:b/>
          <w:bCs/>
        </w:rPr>
        <w:tab/>
      </w:r>
      <w:r w:rsidR="006A018A" w:rsidRPr="003C1CF3">
        <w:rPr>
          <w:b/>
          <w:bCs/>
        </w:rPr>
        <w:t>Increase oversight of restrictions on consumers’ rights</w:t>
      </w:r>
      <w:bookmarkEnd w:id="2333"/>
    </w:p>
    <w:p w14:paraId="0EEEE7FE" w14:textId="2DDBCD36" w:rsidR="00705C04" w:rsidRPr="003C1CF3" w:rsidRDefault="00705C04" w:rsidP="002915D4">
      <w:pPr>
        <w:shd w:val="clear" w:color="auto" w:fill="DEEAF6" w:themeFill="accent5" w:themeFillTint="33"/>
        <w:ind w:left="426"/>
      </w:pPr>
      <w:r w:rsidRPr="003C1CF3">
        <w:t xml:space="preserve">The Victorian Government should </w:t>
      </w:r>
      <w:r w:rsidR="002B53A2" w:rsidRPr="003C1CF3">
        <w:t xml:space="preserve">consider measures </w:t>
      </w:r>
      <w:r w:rsidR="000E3BBA" w:rsidRPr="003C1CF3">
        <w:t>to provide increased oversight of decisions made under the</w:t>
      </w:r>
      <w:r w:rsidR="002B53A2" w:rsidRPr="003C1CF3">
        <w:t xml:space="preserve"> Mental Health Act</w:t>
      </w:r>
      <w:r w:rsidR="000E3BBA" w:rsidRPr="003C1CF3">
        <w:t xml:space="preserve"> that restrict a person’s rights, that are currently not subject to review by the Mental Health Tribunal.</w:t>
      </w:r>
    </w:p>
    <w:p w14:paraId="40B9073C" w14:textId="0838F248" w:rsidR="00001179" w:rsidRPr="00B108FC" w:rsidRDefault="00001179">
      <w:pPr>
        <w:pStyle w:val="Heading2"/>
      </w:pPr>
      <w:bookmarkStart w:id="2334" w:name="_Toc41651961"/>
      <w:r w:rsidRPr="00001179">
        <w:t>Measurement and monitoring</w:t>
      </w:r>
      <w:bookmarkEnd w:id="2334"/>
    </w:p>
    <w:p w14:paraId="73BD0306" w14:textId="5D8CC108" w:rsidR="00252955" w:rsidRDefault="00252955" w:rsidP="00252955">
      <w:pPr>
        <w:rPr>
          <w:lang w:eastAsia="en-AU"/>
        </w:rPr>
      </w:pPr>
      <w:bookmarkStart w:id="2335" w:name="_Toc40215695"/>
      <w:bookmarkStart w:id="2336" w:name="_Toc40216398"/>
      <w:bookmarkStart w:id="2337" w:name="_Toc40217015"/>
      <w:bookmarkStart w:id="2338" w:name="_Toc40217637"/>
      <w:bookmarkStart w:id="2339" w:name="_Toc40218258"/>
      <w:bookmarkStart w:id="2340" w:name="_Toc40246081"/>
      <w:bookmarkStart w:id="2341" w:name="_Toc40246737"/>
      <w:bookmarkStart w:id="2342" w:name="_Toc40247650"/>
      <w:bookmarkStart w:id="2343" w:name="_Toc40215696"/>
      <w:bookmarkStart w:id="2344" w:name="_Toc40216399"/>
      <w:bookmarkStart w:id="2345" w:name="_Toc40217016"/>
      <w:bookmarkStart w:id="2346" w:name="_Toc40217638"/>
      <w:bookmarkStart w:id="2347" w:name="_Toc40218259"/>
      <w:bookmarkStart w:id="2348" w:name="_Toc40246082"/>
      <w:bookmarkStart w:id="2349" w:name="_Toc40246738"/>
      <w:bookmarkStart w:id="2350" w:name="_Toc40247651"/>
      <w:bookmarkStart w:id="2351" w:name="_Toc40215697"/>
      <w:bookmarkStart w:id="2352" w:name="_Toc40216400"/>
      <w:bookmarkStart w:id="2353" w:name="_Toc40217017"/>
      <w:bookmarkStart w:id="2354" w:name="_Toc40217639"/>
      <w:bookmarkStart w:id="2355" w:name="_Toc40218260"/>
      <w:bookmarkStart w:id="2356" w:name="_Toc40246083"/>
      <w:bookmarkStart w:id="2357" w:name="_Toc40246739"/>
      <w:bookmarkStart w:id="2358" w:name="_Toc40247652"/>
      <w:bookmarkStart w:id="2359" w:name="_Toc40215698"/>
      <w:bookmarkStart w:id="2360" w:name="_Toc40216401"/>
      <w:bookmarkStart w:id="2361" w:name="_Toc40217018"/>
      <w:bookmarkStart w:id="2362" w:name="_Toc40217640"/>
      <w:bookmarkStart w:id="2363" w:name="_Toc40218261"/>
      <w:bookmarkStart w:id="2364" w:name="_Toc40246084"/>
      <w:bookmarkStart w:id="2365" w:name="_Toc40246740"/>
      <w:bookmarkStart w:id="2366" w:name="_Toc40247653"/>
      <w:bookmarkStart w:id="2367" w:name="_Toc40215699"/>
      <w:bookmarkStart w:id="2368" w:name="_Toc40216402"/>
      <w:bookmarkStart w:id="2369" w:name="_Toc40217019"/>
      <w:bookmarkStart w:id="2370" w:name="_Toc40217641"/>
      <w:bookmarkStart w:id="2371" w:name="_Toc40218262"/>
      <w:bookmarkStart w:id="2372" w:name="_Toc40246085"/>
      <w:bookmarkStart w:id="2373" w:name="_Toc40246741"/>
      <w:bookmarkStart w:id="2374" w:name="_Toc40247654"/>
      <w:bookmarkStart w:id="2375" w:name="_Toc40215700"/>
      <w:bookmarkStart w:id="2376" w:name="_Toc40216403"/>
      <w:bookmarkStart w:id="2377" w:name="_Toc40217020"/>
      <w:bookmarkStart w:id="2378" w:name="_Toc40217642"/>
      <w:bookmarkStart w:id="2379" w:name="_Toc40218263"/>
      <w:bookmarkStart w:id="2380" w:name="_Toc40246086"/>
      <w:bookmarkStart w:id="2381" w:name="_Toc40246742"/>
      <w:bookmarkStart w:id="2382" w:name="_Toc40247655"/>
      <w:bookmarkStart w:id="2383" w:name="_Toc40215701"/>
      <w:bookmarkStart w:id="2384" w:name="_Toc40216404"/>
      <w:bookmarkStart w:id="2385" w:name="_Toc40217021"/>
      <w:bookmarkStart w:id="2386" w:name="_Toc40217643"/>
      <w:bookmarkStart w:id="2387" w:name="_Toc40218264"/>
      <w:bookmarkStart w:id="2388" w:name="_Toc40246087"/>
      <w:bookmarkStart w:id="2389" w:name="_Toc40246743"/>
      <w:bookmarkStart w:id="2390" w:name="_Toc40247656"/>
      <w:bookmarkStart w:id="2391" w:name="_Toc40215702"/>
      <w:bookmarkStart w:id="2392" w:name="_Toc40216405"/>
      <w:bookmarkStart w:id="2393" w:name="_Toc40217022"/>
      <w:bookmarkStart w:id="2394" w:name="_Toc40217644"/>
      <w:bookmarkStart w:id="2395" w:name="_Toc40218265"/>
      <w:bookmarkStart w:id="2396" w:name="_Toc40246088"/>
      <w:bookmarkStart w:id="2397" w:name="_Toc40246744"/>
      <w:bookmarkStart w:id="2398" w:name="_Toc40247657"/>
      <w:bookmarkStart w:id="2399" w:name="_Toc40215703"/>
      <w:bookmarkStart w:id="2400" w:name="_Toc40216406"/>
      <w:bookmarkStart w:id="2401" w:name="_Toc40217023"/>
      <w:bookmarkStart w:id="2402" w:name="_Toc40217645"/>
      <w:bookmarkStart w:id="2403" w:name="_Toc40218266"/>
      <w:bookmarkStart w:id="2404" w:name="_Toc40246089"/>
      <w:bookmarkStart w:id="2405" w:name="_Toc40246745"/>
      <w:bookmarkStart w:id="2406" w:name="_Toc40247658"/>
      <w:bookmarkStart w:id="2407" w:name="_Toc40215704"/>
      <w:bookmarkStart w:id="2408" w:name="_Toc40216407"/>
      <w:bookmarkStart w:id="2409" w:name="_Toc40217024"/>
      <w:bookmarkStart w:id="2410" w:name="_Toc40217646"/>
      <w:bookmarkStart w:id="2411" w:name="_Toc40218267"/>
      <w:bookmarkStart w:id="2412" w:name="_Toc40246090"/>
      <w:bookmarkStart w:id="2413" w:name="_Toc40246746"/>
      <w:bookmarkStart w:id="2414" w:name="_Toc40247659"/>
      <w:bookmarkStart w:id="2415" w:name="_Toc40215705"/>
      <w:bookmarkStart w:id="2416" w:name="_Toc40216408"/>
      <w:bookmarkStart w:id="2417" w:name="_Toc40217025"/>
      <w:bookmarkStart w:id="2418" w:name="_Toc40217647"/>
      <w:bookmarkStart w:id="2419" w:name="_Toc40218268"/>
      <w:bookmarkStart w:id="2420" w:name="_Toc40246091"/>
      <w:bookmarkStart w:id="2421" w:name="_Toc40246747"/>
      <w:bookmarkStart w:id="2422" w:name="_Toc40247660"/>
      <w:bookmarkStart w:id="2423" w:name="_Toc40215706"/>
      <w:bookmarkStart w:id="2424" w:name="_Toc40216409"/>
      <w:bookmarkStart w:id="2425" w:name="_Toc40217026"/>
      <w:bookmarkStart w:id="2426" w:name="_Toc40217648"/>
      <w:bookmarkStart w:id="2427" w:name="_Toc40218269"/>
      <w:bookmarkStart w:id="2428" w:name="_Toc40246092"/>
      <w:bookmarkStart w:id="2429" w:name="_Toc40246748"/>
      <w:bookmarkStart w:id="2430" w:name="_Toc40247661"/>
      <w:bookmarkStart w:id="2431" w:name="_Toc40215707"/>
      <w:bookmarkStart w:id="2432" w:name="_Toc40216410"/>
      <w:bookmarkStart w:id="2433" w:name="_Toc40217027"/>
      <w:bookmarkStart w:id="2434" w:name="_Toc40217649"/>
      <w:bookmarkStart w:id="2435" w:name="_Toc40218270"/>
      <w:bookmarkStart w:id="2436" w:name="_Toc40246093"/>
      <w:bookmarkStart w:id="2437" w:name="_Toc40246749"/>
      <w:bookmarkStart w:id="2438" w:name="_Toc40247662"/>
      <w:bookmarkStart w:id="2439" w:name="_Toc40215708"/>
      <w:bookmarkStart w:id="2440" w:name="_Toc40216411"/>
      <w:bookmarkStart w:id="2441" w:name="_Toc40217028"/>
      <w:bookmarkStart w:id="2442" w:name="_Toc40217650"/>
      <w:bookmarkStart w:id="2443" w:name="_Toc40218271"/>
      <w:bookmarkStart w:id="2444" w:name="_Toc40246094"/>
      <w:bookmarkStart w:id="2445" w:name="_Toc40246750"/>
      <w:bookmarkStart w:id="2446" w:name="_Toc40247663"/>
      <w:bookmarkStart w:id="2447" w:name="_Toc40215709"/>
      <w:bookmarkStart w:id="2448" w:name="_Toc40216412"/>
      <w:bookmarkStart w:id="2449" w:name="_Toc40217029"/>
      <w:bookmarkStart w:id="2450" w:name="_Toc40217651"/>
      <w:bookmarkStart w:id="2451" w:name="_Toc40218272"/>
      <w:bookmarkStart w:id="2452" w:name="_Toc40246095"/>
      <w:bookmarkStart w:id="2453" w:name="_Toc40246751"/>
      <w:bookmarkStart w:id="2454" w:name="_Toc40247664"/>
      <w:bookmarkStart w:id="2455" w:name="_Toc40215710"/>
      <w:bookmarkStart w:id="2456" w:name="_Toc40216413"/>
      <w:bookmarkStart w:id="2457" w:name="_Toc40217030"/>
      <w:bookmarkStart w:id="2458" w:name="_Toc40217652"/>
      <w:bookmarkStart w:id="2459" w:name="_Toc40218273"/>
      <w:bookmarkStart w:id="2460" w:name="_Toc40246096"/>
      <w:bookmarkStart w:id="2461" w:name="_Toc40246752"/>
      <w:bookmarkStart w:id="2462" w:name="_Toc40247665"/>
      <w:bookmarkStart w:id="2463" w:name="_Toc40215711"/>
      <w:bookmarkStart w:id="2464" w:name="_Toc40216414"/>
      <w:bookmarkStart w:id="2465" w:name="_Toc40217031"/>
      <w:bookmarkStart w:id="2466" w:name="_Toc40217653"/>
      <w:bookmarkStart w:id="2467" w:name="_Toc40218274"/>
      <w:bookmarkStart w:id="2468" w:name="_Toc40246097"/>
      <w:bookmarkStart w:id="2469" w:name="_Toc40246753"/>
      <w:bookmarkStart w:id="2470" w:name="_Toc40247666"/>
      <w:bookmarkStart w:id="2471" w:name="_Toc40215712"/>
      <w:bookmarkStart w:id="2472" w:name="_Toc40216415"/>
      <w:bookmarkStart w:id="2473" w:name="_Toc40217032"/>
      <w:bookmarkStart w:id="2474" w:name="_Toc40217654"/>
      <w:bookmarkStart w:id="2475" w:name="_Toc40218275"/>
      <w:bookmarkStart w:id="2476" w:name="_Toc40246098"/>
      <w:bookmarkStart w:id="2477" w:name="_Toc40246754"/>
      <w:bookmarkStart w:id="2478" w:name="_Toc40247667"/>
      <w:bookmarkStart w:id="2479" w:name="_Toc40215713"/>
      <w:bookmarkStart w:id="2480" w:name="_Toc40216416"/>
      <w:bookmarkStart w:id="2481" w:name="_Toc40217033"/>
      <w:bookmarkStart w:id="2482" w:name="_Toc40217655"/>
      <w:bookmarkStart w:id="2483" w:name="_Toc40218276"/>
      <w:bookmarkStart w:id="2484" w:name="_Toc40246099"/>
      <w:bookmarkStart w:id="2485" w:name="_Toc40246755"/>
      <w:bookmarkStart w:id="2486" w:name="_Toc40247668"/>
      <w:bookmarkStart w:id="2487" w:name="_Toc40215714"/>
      <w:bookmarkStart w:id="2488" w:name="_Toc40216417"/>
      <w:bookmarkStart w:id="2489" w:name="_Toc40217034"/>
      <w:bookmarkStart w:id="2490" w:name="_Toc40217656"/>
      <w:bookmarkStart w:id="2491" w:name="_Toc40218277"/>
      <w:bookmarkStart w:id="2492" w:name="_Toc40246100"/>
      <w:bookmarkStart w:id="2493" w:name="_Toc40246756"/>
      <w:bookmarkStart w:id="2494" w:name="_Toc40247669"/>
      <w:bookmarkStart w:id="2495" w:name="_Toc40215715"/>
      <w:bookmarkStart w:id="2496" w:name="_Toc40216418"/>
      <w:bookmarkStart w:id="2497" w:name="_Toc40217035"/>
      <w:bookmarkStart w:id="2498" w:name="_Toc40217657"/>
      <w:bookmarkStart w:id="2499" w:name="_Toc40218278"/>
      <w:bookmarkStart w:id="2500" w:name="_Toc40246101"/>
      <w:bookmarkStart w:id="2501" w:name="_Toc40246757"/>
      <w:bookmarkStart w:id="2502" w:name="_Toc40247670"/>
      <w:bookmarkStart w:id="2503" w:name="_Toc40215716"/>
      <w:bookmarkStart w:id="2504" w:name="_Toc40216419"/>
      <w:bookmarkStart w:id="2505" w:name="_Toc40217036"/>
      <w:bookmarkStart w:id="2506" w:name="_Toc40217658"/>
      <w:bookmarkStart w:id="2507" w:name="_Toc40218279"/>
      <w:bookmarkStart w:id="2508" w:name="_Toc40246102"/>
      <w:bookmarkStart w:id="2509" w:name="_Toc40246758"/>
      <w:bookmarkStart w:id="2510" w:name="_Toc40247671"/>
      <w:bookmarkStart w:id="2511" w:name="_Toc40215717"/>
      <w:bookmarkStart w:id="2512" w:name="_Toc40216420"/>
      <w:bookmarkStart w:id="2513" w:name="_Toc40217037"/>
      <w:bookmarkStart w:id="2514" w:name="_Toc40217659"/>
      <w:bookmarkStart w:id="2515" w:name="_Toc40218280"/>
      <w:bookmarkStart w:id="2516" w:name="_Toc40246103"/>
      <w:bookmarkStart w:id="2517" w:name="_Toc40246759"/>
      <w:bookmarkStart w:id="2518" w:name="_Toc40247672"/>
      <w:bookmarkStart w:id="2519" w:name="_Toc40215718"/>
      <w:bookmarkStart w:id="2520" w:name="_Toc40216421"/>
      <w:bookmarkStart w:id="2521" w:name="_Toc40217038"/>
      <w:bookmarkStart w:id="2522" w:name="_Toc40217660"/>
      <w:bookmarkStart w:id="2523" w:name="_Toc40218281"/>
      <w:bookmarkStart w:id="2524" w:name="_Toc40246104"/>
      <w:bookmarkStart w:id="2525" w:name="_Toc40246760"/>
      <w:bookmarkStart w:id="2526" w:name="_Toc40247673"/>
      <w:bookmarkStart w:id="2527" w:name="_Toc40215719"/>
      <w:bookmarkStart w:id="2528" w:name="_Toc40216422"/>
      <w:bookmarkStart w:id="2529" w:name="_Toc40217039"/>
      <w:bookmarkStart w:id="2530" w:name="_Toc40217661"/>
      <w:bookmarkStart w:id="2531" w:name="_Toc40218282"/>
      <w:bookmarkStart w:id="2532" w:name="_Toc40246105"/>
      <w:bookmarkStart w:id="2533" w:name="_Toc40246761"/>
      <w:bookmarkStart w:id="2534" w:name="_Toc40247674"/>
      <w:bookmarkStart w:id="2535" w:name="_Toc40215720"/>
      <w:bookmarkStart w:id="2536" w:name="_Toc40216423"/>
      <w:bookmarkStart w:id="2537" w:name="_Toc40217040"/>
      <w:bookmarkStart w:id="2538" w:name="_Toc40217662"/>
      <w:bookmarkStart w:id="2539" w:name="_Toc40218283"/>
      <w:bookmarkStart w:id="2540" w:name="_Toc40246106"/>
      <w:bookmarkStart w:id="2541" w:name="_Toc40246762"/>
      <w:bookmarkStart w:id="2542" w:name="_Toc40247675"/>
      <w:bookmarkStart w:id="2543" w:name="_Toc40215721"/>
      <w:bookmarkStart w:id="2544" w:name="_Toc40216424"/>
      <w:bookmarkStart w:id="2545" w:name="_Toc40217041"/>
      <w:bookmarkStart w:id="2546" w:name="_Toc40217663"/>
      <w:bookmarkStart w:id="2547" w:name="_Toc40218284"/>
      <w:bookmarkStart w:id="2548" w:name="_Toc40246107"/>
      <w:bookmarkStart w:id="2549" w:name="_Toc40246763"/>
      <w:bookmarkStart w:id="2550" w:name="_Toc40247676"/>
      <w:bookmarkStart w:id="2551" w:name="_Toc40215722"/>
      <w:bookmarkStart w:id="2552" w:name="_Toc40216425"/>
      <w:bookmarkStart w:id="2553" w:name="_Toc40217042"/>
      <w:bookmarkStart w:id="2554" w:name="_Toc40217664"/>
      <w:bookmarkStart w:id="2555" w:name="_Toc40218285"/>
      <w:bookmarkStart w:id="2556" w:name="_Toc40246108"/>
      <w:bookmarkStart w:id="2557" w:name="_Toc40246764"/>
      <w:bookmarkStart w:id="2558" w:name="_Toc40247677"/>
      <w:bookmarkStart w:id="2559" w:name="_Toc40215723"/>
      <w:bookmarkStart w:id="2560" w:name="_Toc40216426"/>
      <w:bookmarkStart w:id="2561" w:name="_Toc40217043"/>
      <w:bookmarkStart w:id="2562" w:name="_Toc40217665"/>
      <w:bookmarkStart w:id="2563" w:name="_Toc40218286"/>
      <w:bookmarkStart w:id="2564" w:name="_Toc40246109"/>
      <w:bookmarkStart w:id="2565" w:name="_Toc40246765"/>
      <w:bookmarkStart w:id="2566" w:name="_Toc40247678"/>
      <w:bookmarkStart w:id="2567" w:name="_Toc40215727"/>
      <w:bookmarkStart w:id="2568" w:name="_Toc40216430"/>
      <w:bookmarkStart w:id="2569" w:name="_Toc40217047"/>
      <w:bookmarkStart w:id="2570" w:name="_Toc40217669"/>
      <w:bookmarkStart w:id="2571" w:name="_Toc40218290"/>
      <w:bookmarkStart w:id="2572" w:name="_Toc40246113"/>
      <w:bookmarkStart w:id="2573" w:name="_Toc40246769"/>
      <w:bookmarkStart w:id="2574" w:name="_Toc40247682"/>
      <w:bookmarkStart w:id="2575" w:name="_Toc40215729"/>
      <w:bookmarkStart w:id="2576" w:name="_Toc40216432"/>
      <w:bookmarkStart w:id="2577" w:name="_Toc40217049"/>
      <w:bookmarkStart w:id="2578" w:name="_Toc40217671"/>
      <w:bookmarkStart w:id="2579" w:name="_Toc40218292"/>
      <w:bookmarkStart w:id="2580" w:name="_Toc40246115"/>
      <w:bookmarkStart w:id="2581" w:name="_Toc40246771"/>
      <w:bookmarkStart w:id="2582" w:name="_Toc40247684"/>
      <w:bookmarkStart w:id="2583" w:name="_Toc40215730"/>
      <w:bookmarkStart w:id="2584" w:name="_Toc40216433"/>
      <w:bookmarkStart w:id="2585" w:name="_Toc40217050"/>
      <w:bookmarkStart w:id="2586" w:name="_Toc40217672"/>
      <w:bookmarkStart w:id="2587" w:name="_Toc40218293"/>
      <w:bookmarkStart w:id="2588" w:name="_Toc40246116"/>
      <w:bookmarkStart w:id="2589" w:name="_Toc40246772"/>
      <w:bookmarkStart w:id="2590" w:name="_Toc40247685"/>
      <w:bookmarkStart w:id="2591" w:name="_Toc40215731"/>
      <w:bookmarkStart w:id="2592" w:name="_Toc40216434"/>
      <w:bookmarkStart w:id="2593" w:name="_Toc40217051"/>
      <w:bookmarkStart w:id="2594" w:name="_Toc40217673"/>
      <w:bookmarkStart w:id="2595" w:name="_Toc40218294"/>
      <w:bookmarkStart w:id="2596" w:name="_Toc40246117"/>
      <w:bookmarkStart w:id="2597" w:name="_Toc40246773"/>
      <w:bookmarkStart w:id="2598" w:name="_Toc40247686"/>
      <w:bookmarkStart w:id="2599" w:name="_Toc40215732"/>
      <w:bookmarkStart w:id="2600" w:name="_Toc40216435"/>
      <w:bookmarkStart w:id="2601" w:name="_Toc40217052"/>
      <w:bookmarkStart w:id="2602" w:name="_Toc40217674"/>
      <w:bookmarkStart w:id="2603" w:name="_Toc40218295"/>
      <w:bookmarkStart w:id="2604" w:name="_Toc40246118"/>
      <w:bookmarkStart w:id="2605" w:name="_Toc40246774"/>
      <w:bookmarkStart w:id="2606" w:name="_Toc40247687"/>
      <w:bookmarkStart w:id="2607" w:name="_Toc40215733"/>
      <w:bookmarkStart w:id="2608" w:name="_Toc40216436"/>
      <w:bookmarkStart w:id="2609" w:name="_Toc40217053"/>
      <w:bookmarkStart w:id="2610" w:name="_Toc40217675"/>
      <w:bookmarkStart w:id="2611" w:name="_Toc40218296"/>
      <w:bookmarkStart w:id="2612" w:name="_Toc40246119"/>
      <w:bookmarkStart w:id="2613" w:name="_Toc40246775"/>
      <w:bookmarkStart w:id="2614" w:name="_Toc40247688"/>
      <w:bookmarkStart w:id="2615" w:name="_Toc40215734"/>
      <w:bookmarkStart w:id="2616" w:name="_Toc40216437"/>
      <w:bookmarkStart w:id="2617" w:name="_Toc40217054"/>
      <w:bookmarkStart w:id="2618" w:name="_Toc40217676"/>
      <w:bookmarkStart w:id="2619" w:name="_Toc40218297"/>
      <w:bookmarkStart w:id="2620" w:name="_Toc40246120"/>
      <w:bookmarkStart w:id="2621" w:name="_Toc40246776"/>
      <w:bookmarkStart w:id="2622" w:name="_Toc40247689"/>
      <w:bookmarkStart w:id="2623" w:name="_Toc40215735"/>
      <w:bookmarkStart w:id="2624" w:name="_Toc40216438"/>
      <w:bookmarkStart w:id="2625" w:name="_Toc40217055"/>
      <w:bookmarkStart w:id="2626" w:name="_Toc40217677"/>
      <w:bookmarkStart w:id="2627" w:name="_Toc40218298"/>
      <w:bookmarkStart w:id="2628" w:name="_Toc40246121"/>
      <w:bookmarkStart w:id="2629" w:name="_Toc40246777"/>
      <w:bookmarkStart w:id="2630" w:name="_Toc40247690"/>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r w:rsidRPr="004F028F">
        <w:rPr>
          <w:lang w:eastAsia="en-AU"/>
        </w:rPr>
        <w:t xml:space="preserve">One of the key aims of the Mental Health Act </w:t>
      </w:r>
      <w:r w:rsidR="00C028B1">
        <w:rPr>
          <w:lang w:eastAsia="en-AU"/>
        </w:rPr>
        <w:t>i</w:t>
      </w:r>
      <w:r w:rsidRPr="004F028F">
        <w:rPr>
          <w:lang w:eastAsia="en-AU"/>
        </w:rPr>
        <w:t>s to reduce the use of compulsory treatment, with a preference for voluntary treatment.</w:t>
      </w:r>
      <w:r w:rsidRPr="004F028F">
        <w:rPr>
          <w:vertAlign w:val="superscript"/>
          <w:lang w:eastAsia="en-AU"/>
        </w:rPr>
        <w:footnoteReference w:id="90"/>
      </w:r>
      <w:r w:rsidRPr="004F028F">
        <w:rPr>
          <w:lang w:eastAsia="en-AU"/>
        </w:rPr>
        <w:t xml:space="preserve"> </w:t>
      </w:r>
      <w:r w:rsidR="00C028B1">
        <w:rPr>
          <w:lang w:eastAsia="en-AU"/>
        </w:rPr>
        <w:t>I</w:t>
      </w:r>
      <w:r w:rsidRPr="004F028F">
        <w:rPr>
          <w:lang w:eastAsia="en-AU"/>
        </w:rPr>
        <w:t>t is not clear how the drivers of system practice, such as performance measures and transparent data, align with the intention of the</w:t>
      </w:r>
      <w:r w:rsidR="00C028B1">
        <w:rPr>
          <w:lang w:eastAsia="en-AU"/>
        </w:rPr>
        <w:t xml:space="preserve"> Mental Health </w:t>
      </w:r>
      <w:r w:rsidRPr="004F028F">
        <w:rPr>
          <w:lang w:eastAsia="en-AU"/>
        </w:rPr>
        <w:t>Act.</w:t>
      </w:r>
    </w:p>
    <w:p w14:paraId="3C0C6DEA" w14:textId="07F571FD" w:rsidR="00C109F7" w:rsidRDefault="00C109F7" w:rsidP="00C109F7">
      <w:pPr>
        <w:pStyle w:val="Heading3"/>
      </w:pPr>
      <w:r>
        <w:t xml:space="preserve">Monitoring and evaluation of </w:t>
      </w:r>
      <w:r w:rsidR="003A0D57">
        <w:t xml:space="preserve">Mental Health </w:t>
      </w:r>
      <w:r>
        <w:t xml:space="preserve">Tribunal outcomes and impact </w:t>
      </w:r>
    </w:p>
    <w:p w14:paraId="43E18BDD" w14:textId="7D679A56" w:rsidR="00C109F7" w:rsidRDefault="00C109F7" w:rsidP="00C109F7">
      <w:pPr>
        <w:rPr>
          <w:lang w:eastAsia="en-AU"/>
        </w:rPr>
      </w:pPr>
      <w:r w:rsidRPr="006A1471">
        <w:rPr>
          <w:lang w:eastAsia="en-AU"/>
        </w:rPr>
        <w:t>Despite the Tribunal’s critical function</w:t>
      </w:r>
      <w:r>
        <w:rPr>
          <w:lang w:eastAsia="en-AU"/>
        </w:rPr>
        <w:t xml:space="preserve"> in Victoria’s mental health system</w:t>
      </w:r>
      <w:r w:rsidRPr="006A1471">
        <w:rPr>
          <w:lang w:eastAsia="en-AU"/>
        </w:rPr>
        <w:t>, there is limited oversight and transparency of Tribunal processes and decisions. Appeals are rare,</w:t>
      </w:r>
      <w:r>
        <w:rPr>
          <w:rStyle w:val="FootnoteReference"/>
          <w:lang w:eastAsia="en-AU"/>
        </w:rPr>
        <w:footnoteReference w:id="91"/>
      </w:r>
      <w:r w:rsidRPr="006A1471">
        <w:rPr>
          <w:lang w:eastAsia="en-AU"/>
        </w:rPr>
        <w:t xml:space="preserve"> hearings are not </w:t>
      </w:r>
      <w:proofErr w:type="gramStart"/>
      <w:r w:rsidRPr="006A1471">
        <w:rPr>
          <w:lang w:eastAsia="en-AU"/>
        </w:rPr>
        <w:t>recorded</w:t>
      </w:r>
      <w:proofErr w:type="gramEnd"/>
      <w:r w:rsidRPr="006A1471">
        <w:rPr>
          <w:lang w:eastAsia="en-AU"/>
        </w:rPr>
        <w:t xml:space="preserve"> and consumers </w:t>
      </w:r>
      <w:r>
        <w:rPr>
          <w:lang w:eastAsia="en-AU"/>
        </w:rPr>
        <w:t xml:space="preserve">commonly </w:t>
      </w:r>
      <w:r w:rsidRPr="006A1471">
        <w:rPr>
          <w:lang w:eastAsia="en-AU"/>
        </w:rPr>
        <w:t xml:space="preserve">do not have </w:t>
      </w:r>
      <w:r>
        <w:rPr>
          <w:lang w:eastAsia="en-AU"/>
        </w:rPr>
        <w:t>legal representation</w:t>
      </w:r>
      <w:r w:rsidRPr="006A1471">
        <w:rPr>
          <w:lang w:eastAsia="en-AU"/>
        </w:rPr>
        <w:t>.</w:t>
      </w:r>
      <w:r>
        <w:rPr>
          <w:lang w:eastAsia="en-AU"/>
        </w:rPr>
        <w:t xml:space="preserve"> Given the critical role the Tribunal plays, quality assurance measures to ensure it is fulfilling its statutory function are necessary.</w:t>
      </w:r>
      <w:r>
        <w:rPr>
          <w:rStyle w:val="FootnoteReference"/>
          <w:lang w:eastAsia="en-AU"/>
        </w:rPr>
        <w:footnoteReference w:id="92"/>
      </w:r>
      <w:r>
        <w:rPr>
          <w:lang w:eastAsia="en-AU"/>
        </w:rPr>
        <w:t xml:space="preserve"> These should include:</w:t>
      </w:r>
    </w:p>
    <w:p w14:paraId="3EBF7FAB" w14:textId="119FAC31" w:rsidR="00C109F7" w:rsidRPr="003C16C3" w:rsidRDefault="00025509" w:rsidP="00C109F7">
      <w:pPr>
        <w:pStyle w:val="Listbulletcoloured"/>
      </w:pPr>
      <w:r>
        <w:t>r</w:t>
      </w:r>
      <w:r w:rsidR="00C109F7" w:rsidRPr="003C16C3">
        <w:t xml:space="preserve">ole clarity for </w:t>
      </w:r>
      <w:r w:rsidR="00C109F7">
        <w:t>legal, medical and community</w:t>
      </w:r>
      <w:r w:rsidR="00C109F7" w:rsidRPr="003C16C3">
        <w:t xml:space="preserve"> member</w:t>
      </w:r>
      <w:r w:rsidR="00C109F7">
        <w:t>s</w:t>
      </w:r>
      <w:r w:rsidR="00C109F7" w:rsidRPr="003C16C3">
        <w:t>;</w:t>
      </w:r>
    </w:p>
    <w:p w14:paraId="5391898E" w14:textId="359D7E96" w:rsidR="00C109F7" w:rsidRPr="003C16C3" w:rsidRDefault="00025509" w:rsidP="00C109F7">
      <w:pPr>
        <w:pStyle w:val="Listbulletcoloured"/>
      </w:pPr>
      <w:r>
        <w:t>r</w:t>
      </w:r>
      <w:r w:rsidR="00C109F7" w:rsidRPr="003C16C3">
        <w:t>ecording</w:t>
      </w:r>
      <w:r w:rsidR="00C109F7">
        <w:t xml:space="preserve"> of all</w:t>
      </w:r>
      <w:r w:rsidR="00C109F7" w:rsidRPr="003C16C3">
        <w:t xml:space="preserve"> hearings;</w:t>
      </w:r>
    </w:p>
    <w:p w14:paraId="1156DC8A" w14:textId="760E0F77" w:rsidR="00C109F7" w:rsidRPr="003C16C3" w:rsidRDefault="00025509" w:rsidP="00C109F7">
      <w:pPr>
        <w:pStyle w:val="Listbulletcoloured"/>
      </w:pPr>
      <w:r>
        <w:t>e</w:t>
      </w:r>
      <w:r w:rsidR="00C109F7">
        <w:t xml:space="preserve">nsuring </w:t>
      </w:r>
      <w:r w:rsidR="00C109F7" w:rsidRPr="003C16C3">
        <w:t xml:space="preserve">designated lived experience positions </w:t>
      </w:r>
      <w:r w:rsidR="00C109F7">
        <w:t>continue</w:t>
      </w:r>
      <w:r w:rsidR="00C109F7" w:rsidRPr="003C16C3">
        <w:t xml:space="preserve"> to guide its work</w:t>
      </w:r>
      <w:r w:rsidR="00C109F7">
        <w:t>;</w:t>
      </w:r>
    </w:p>
    <w:p w14:paraId="4C574657" w14:textId="1474334E" w:rsidR="00C109F7" w:rsidRPr="003C16C3" w:rsidRDefault="00025509" w:rsidP="00C109F7">
      <w:pPr>
        <w:pStyle w:val="Listbulletcoloured"/>
      </w:pPr>
      <w:r>
        <w:lastRenderedPageBreak/>
        <w:t>t</w:t>
      </w:r>
      <w:r w:rsidR="00C109F7" w:rsidRPr="003C16C3">
        <w:t xml:space="preserve">raining and support to members about their role and the </w:t>
      </w:r>
      <w:r w:rsidR="00C109F7">
        <w:t>Tribunal’s function</w:t>
      </w:r>
      <w:r w:rsidR="00C109F7" w:rsidRPr="003C16C3">
        <w:t>;</w:t>
      </w:r>
    </w:p>
    <w:p w14:paraId="4B3257E3" w14:textId="48E1008A" w:rsidR="00C109F7" w:rsidRPr="003C16C3" w:rsidRDefault="00025509" w:rsidP="00C109F7">
      <w:pPr>
        <w:pStyle w:val="Listbulletcoloured"/>
      </w:pPr>
      <w:r>
        <w:t>d</w:t>
      </w:r>
      <w:r w:rsidR="00C109F7">
        <w:t xml:space="preserve">evelopment of clear regulations and communications about the Tribunal’s role, function and processes to provide certainty and avoid confusion for consumers; </w:t>
      </w:r>
    </w:p>
    <w:p w14:paraId="656288F6" w14:textId="7ADE99BA" w:rsidR="00C109F7" w:rsidRPr="003C16C3" w:rsidRDefault="00025509" w:rsidP="00C109F7">
      <w:pPr>
        <w:pStyle w:val="Listbulletcoloured"/>
      </w:pPr>
      <w:r>
        <w:t>i</w:t>
      </w:r>
      <w:r w:rsidR="00C109F7">
        <w:t>mproved s</w:t>
      </w:r>
      <w:r w:rsidR="00C109F7" w:rsidRPr="003C16C3">
        <w:t>ystems for consumer feedback about the</w:t>
      </w:r>
      <w:r w:rsidR="00C109F7">
        <w:t>ir</w:t>
      </w:r>
      <w:r w:rsidR="00C109F7" w:rsidRPr="003C16C3">
        <w:t xml:space="preserve"> experience of the Tribunal; and </w:t>
      </w:r>
    </w:p>
    <w:p w14:paraId="102D3BFB" w14:textId="48BC6E7A" w:rsidR="00C109F7" w:rsidRPr="006A1471" w:rsidRDefault="00025509" w:rsidP="00C109F7">
      <w:pPr>
        <w:pStyle w:val="Listbulletcoloured"/>
      </w:pPr>
      <w:r>
        <w:t>t</w:t>
      </w:r>
      <w:r w:rsidR="00C109F7" w:rsidRPr="005233F8">
        <w:t>he introduction of maximum terms for members</w:t>
      </w:r>
      <w:r w:rsidR="00C109F7">
        <w:t>.</w:t>
      </w:r>
    </w:p>
    <w:p w14:paraId="3262D444" w14:textId="77E27EBD" w:rsidR="00C109F7" w:rsidRPr="001028B6" w:rsidRDefault="003C1CF3" w:rsidP="002915D4">
      <w:pPr>
        <w:shd w:val="clear" w:color="auto" w:fill="DEEAF6" w:themeFill="accent5" w:themeFillTint="33"/>
        <w:ind w:left="426"/>
      </w:pPr>
      <w:bookmarkStart w:id="2631" w:name="_Toc41411952"/>
      <w:r w:rsidRPr="00B9060C">
        <w:rPr>
          <w:b/>
          <w:bCs/>
        </w:rPr>
        <w:t xml:space="preserve">Recommendation </w:t>
      </w:r>
      <w:r>
        <w:rPr>
          <w:b/>
          <w:bCs/>
        </w:rPr>
        <w:t>24:</w:t>
      </w:r>
      <w:r w:rsidR="00EC0622">
        <w:rPr>
          <w:b/>
          <w:bCs/>
        </w:rPr>
        <w:tab/>
      </w:r>
      <w:r>
        <w:rPr>
          <w:b/>
          <w:bCs/>
        </w:rPr>
        <w:t xml:space="preserve"> </w:t>
      </w:r>
      <w:r w:rsidR="00C109F7" w:rsidRPr="003C1CF3">
        <w:rPr>
          <w:b/>
          <w:bCs/>
        </w:rPr>
        <w:t>Introduce Mental Health Tribunal evaluation measures</w:t>
      </w:r>
      <w:bookmarkEnd w:id="2631"/>
    </w:p>
    <w:p w14:paraId="14760481" w14:textId="384DC900" w:rsidR="00C109F7" w:rsidRPr="003C1CF3" w:rsidRDefault="00C109F7" w:rsidP="002915D4">
      <w:pPr>
        <w:shd w:val="clear" w:color="auto" w:fill="DEEAF6" w:themeFill="accent5" w:themeFillTint="33"/>
        <w:ind w:left="426"/>
      </w:pPr>
      <w:bookmarkStart w:id="2632" w:name="_Hlk41578683"/>
      <w:r w:rsidRPr="003C1CF3">
        <w:t>The Victorian Government should introduce</w:t>
      </w:r>
      <w:r w:rsidR="006B645C" w:rsidRPr="003C1CF3">
        <w:t xml:space="preserve"> quality assurance mechanisms and</w:t>
      </w:r>
      <w:r w:rsidRPr="003C1CF3">
        <w:t xml:space="preserve"> measures to evaluate the effectiveness of Mental Health Tribunal processes and decision making. Measures should include consumer experience.</w:t>
      </w:r>
    </w:p>
    <w:bookmarkEnd w:id="2632"/>
    <w:p w14:paraId="486200F1" w14:textId="32DC9652" w:rsidR="00982287" w:rsidRDefault="00D70948" w:rsidP="001B33A7">
      <w:pPr>
        <w:pStyle w:val="Heading3"/>
      </w:pPr>
      <w:r>
        <w:t>D</w:t>
      </w:r>
      <w:r w:rsidR="00C028B1">
        <w:t>ata collection and reporting</w:t>
      </w:r>
    </w:p>
    <w:p w14:paraId="3CDFDE55" w14:textId="4360449E" w:rsidR="00C028B1" w:rsidRDefault="00982287" w:rsidP="00982287">
      <w:pPr>
        <w:rPr>
          <w:lang w:eastAsia="en-AU"/>
        </w:rPr>
      </w:pPr>
      <w:r w:rsidRPr="00B67639">
        <w:rPr>
          <w:lang w:eastAsia="en-AU"/>
        </w:rPr>
        <w:t>Current data to measure the use of compulsory treatment</w:t>
      </w:r>
      <w:r w:rsidR="00C028B1">
        <w:rPr>
          <w:lang w:eastAsia="en-AU"/>
        </w:rPr>
        <w:t xml:space="preserve"> is limited. </w:t>
      </w:r>
      <w:r w:rsidR="007E3AE2" w:rsidRPr="00B67639">
        <w:rPr>
          <w:lang w:eastAsia="en-AU"/>
        </w:rPr>
        <w:t>Data is not publicly available on how many people are subject to compulsory treatment, and most available data is episode</w:t>
      </w:r>
      <w:r w:rsidR="264FFB7C" w:rsidRPr="2A491A14">
        <w:rPr>
          <w:lang w:eastAsia="en-AU"/>
        </w:rPr>
        <w:t>-</w:t>
      </w:r>
      <w:r w:rsidR="007E3AE2" w:rsidRPr="00B67639">
        <w:rPr>
          <w:lang w:eastAsia="en-AU"/>
        </w:rPr>
        <w:t xml:space="preserve">based and does not </w:t>
      </w:r>
      <w:r w:rsidR="007E3AE2">
        <w:rPr>
          <w:lang w:eastAsia="en-AU"/>
        </w:rPr>
        <w:t>provide</w:t>
      </w:r>
      <w:r w:rsidR="007E3AE2" w:rsidRPr="00B67639">
        <w:rPr>
          <w:lang w:eastAsia="en-AU"/>
        </w:rPr>
        <w:t xml:space="preserve"> insight into trends or the full consumer experience</w:t>
      </w:r>
      <w:r w:rsidR="007E3AE2" w:rsidRPr="009F5ECB">
        <w:rPr>
          <w:lang w:eastAsia="en-AU"/>
        </w:rPr>
        <w:t>.</w:t>
      </w:r>
      <w:r w:rsidR="00C028B1">
        <w:rPr>
          <w:lang w:eastAsia="en-AU"/>
        </w:rPr>
        <w:t xml:space="preserve"> This makes it difficult to measure the system impact of the Mental Health Act, and to track and ensure the</w:t>
      </w:r>
      <w:r w:rsidRPr="00B67639">
        <w:rPr>
          <w:lang w:eastAsia="en-AU"/>
        </w:rPr>
        <w:t xml:space="preserve"> increase in voluntary services and treatment in the community</w:t>
      </w:r>
      <w:r w:rsidR="00C028B1">
        <w:rPr>
          <w:lang w:eastAsia="en-AU"/>
        </w:rPr>
        <w:t xml:space="preserve"> over time</w:t>
      </w:r>
      <w:r w:rsidRPr="00B67639">
        <w:rPr>
          <w:lang w:eastAsia="en-AU"/>
        </w:rPr>
        <w:t>.</w:t>
      </w:r>
    </w:p>
    <w:p w14:paraId="0B0B6AD0" w14:textId="3F0B2D8E" w:rsidR="00F87026" w:rsidRDefault="00C028B1" w:rsidP="00982287">
      <w:pPr>
        <w:rPr>
          <w:lang w:eastAsia="en-AU"/>
        </w:rPr>
      </w:pPr>
      <w:r w:rsidRPr="00B67639">
        <w:rPr>
          <w:lang w:eastAsia="en-AU"/>
        </w:rPr>
        <w:t xml:space="preserve">Services </w:t>
      </w:r>
      <w:r w:rsidR="00564D7C">
        <w:rPr>
          <w:lang w:eastAsia="en-AU"/>
        </w:rPr>
        <w:t>should</w:t>
      </w:r>
      <w:r w:rsidRPr="00B67639">
        <w:rPr>
          <w:lang w:eastAsia="en-AU"/>
        </w:rPr>
        <w:t xml:space="preserve"> be given </w:t>
      </w:r>
      <w:r>
        <w:rPr>
          <w:lang w:eastAsia="en-AU"/>
        </w:rPr>
        <w:t>clear guidance</w:t>
      </w:r>
      <w:r w:rsidRPr="00B67639">
        <w:rPr>
          <w:lang w:eastAsia="en-AU"/>
        </w:rPr>
        <w:t xml:space="preserve"> around </w:t>
      </w:r>
      <w:r>
        <w:rPr>
          <w:lang w:eastAsia="en-AU"/>
        </w:rPr>
        <w:t xml:space="preserve">data collection, </w:t>
      </w:r>
      <w:r w:rsidRPr="00B67639">
        <w:rPr>
          <w:lang w:eastAsia="en-AU"/>
        </w:rPr>
        <w:t>record keeping and service delivery tools that are in line with the M</w:t>
      </w:r>
      <w:r>
        <w:rPr>
          <w:lang w:eastAsia="en-AU"/>
        </w:rPr>
        <w:t xml:space="preserve">ental </w:t>
      </w:r>
      <w:r w:rsidRPr="00B67639">
        <w:rPr>
          <w:lang w:eastAsia="en-AU"/>
        </w:rPr>
        <w:t>H</w:t>
      </w:r>
      <w:r>
        <w:rPr>
          <w:lang w:eastAsia="en-AU"/>
        </w:rPr>
        <w:t xml:space="preserve">ealth </w:t>
      </w:r>
      <w:r w:rsidRPr="00B67639">
        <w:rPr>
          <w:lang w:eastAsia="en-AU"/>
        </w:rPr>
        <w:t>A</w:t>
      </w:r>
      <w:r>
        <w:rPr>
          <w:lang w:eastAsia="en-AU"/>
        </w:rPr>
        <w:t>ct</w:t>
      </w:r>
      <w:r w:rsidRPr="00B67639">
        <w:rPr>
          <w:lang w:eastAsia="en-AU"/>
        </w:rPr>
        <w:t>.</w:t>
      </w:r>
      <w:r w:rsidR="007E3AE2">
        <w:rPr>
          <w:lang w:eastAsia="en-AU"/>
        </w:rPr>
        <w:t xml:space="preserve"> </w:t>
      </w:r>
      <w:r w:rsidR="00EB42D2">
        <w:rPr>
          <w:lang w:eastAsia="en-AU"/>
        </w:rPr>
        <w:t>Consistent with the</w:t>
      </w:r>
      <w:r w:rsidR="00873E37">
        <w:rPr>
          <w:lang w:eastAsia="en-AU"/>
        </w:rPr>
        <w:t xml:space="preserve"> </w:t>
      </w:r>
      <w:proofErr w:type="spellStart"/>
      <w:r w:rsidR="00873E37">
        <w:rPr>
          <w:lang w:eastAsia="en-AU"/>
        </w:rPr>
        <w:t>DataVic</w:t>
      </w:r>
      <w:proofErr w:type="spellEnd"/>
      <w:r w:rsidR="00873E37">
        <w:rPr>
          <w:lang w:eastAsia="en-AU"/>
        </w:rPr>
        <w:t xml:space="preserve"> access policy,</w:t>
      </w:r>
      <w:r w:rsidR="00CA7BC3">
        <w:rPr>
          <w:rStyle w:val="FootnoteReference"/>
          <w:lang w:eastAsia="en-AU"/>
        </w:rPr>
        <w:footnoteReference w:id="93"/>
      </w:r>
      <w:r w:rsidR="00EB42D2">
        <w:rPr>
          <w:lang w:eastAsia="en-AU"/>
        </w:rPr>
        <w:t xml:space="preserve"> </w:t>
      </w:r>
      <w:r w:rsidR="00873E37">
        <w:rPr>
          <w:lang w:eastAsia="en-AU"/>
        </w:rPr>
        <w:t>d</w:t>
      </w:r>
      <w:r w:rsidR="00982287" w:rsidRPr="00B67639">
        <w:rPr>
          <w:lang w:eastAsia="en-AU"/>
        </w:rPr>
        <w:t xml:space="preserve">ata </w:t>
      </w:r>
      <w:r>
        <w:rPr>
          <w:lang w:eastAsia="en-AU"/>
        </w:rPr>
        <w:t>on</w:t>
      </w:r>
      <w:r w:rsidR="00982287" w:rsidRPr="00B67639">
        <w:rPr>
          <w:lang w:eastAsia="en-AU"/>
        </w:rPr>
        <w:t xml:space="preserve"> compulsory treatment </w:t>
      </w:r>
      <w:r w:rsidR="00AE7A6A">
        <w:rPr>
          <w:lang w:eastAsia="en-AU"/>
        </w:rPr>
        <w:t xml:space="preserve">should </w:t>
      </w:r>
      <w:r w:rsidR="00982287" w:rsidRPr="00B67639">
        <w:rPr>
          <w:lang w:eastAsia="en-AU"/>
        </w:rPr>
        <w:t xml:space="preserve">be publicly accessible in order to increase accountability and transparency in the mental health system, to accurately measure an increase in voluntary services and treatment in the community. </w:t>
      </w:r>
    </w:p>
    <w:p w14:paraId="4928793D" w14:textId="7D553E42" w:rsidR="00982287" w:rsidRPr="00270984" w:rsidRDefault="003A0D57" w:rsidP="00270984">
      <w:pPr>
        <w:rPr>
          <w:lang w:eastAsia="en-AU"/>
        </w:rPr>
      </w:pPr>
      <w:r w:rsidRPr="001673EE">
        <w:rPr>
          <w:lang w:eastAsia="en-AU"/>
        </w:rPr>
        <w:t xml:space="preserve">Data on compulsory treatment for collection and public </w:t>
      </w:r>
      <w:r w:rsidRPr="00651DD8">
        <w:rPr>
          <w:lang w:eastAsia="en-AU"/>
        </w:rPr>
        <w:t>reporting</w:t>
      </w:r>
      <w:r w:rsidR="00270984">
        <w:rPr>
          <w:lang w:eastAsia="en-AU"/>
        </w:rPr>
        <w:t xml:space="preserve"> should include:</w:t>
      </w:r>
    </w:p>
    <w:p w14:paraId="284C1B39" w14:textId="649C0FF9" w:rsidR="003A0D57" w:rsidRPr="003A0D57" w:rsidRDefault="003A0D57" w:rsidP="001673EE">
      <w:pPr>
        <w:pStyle w:val="Listbulletcoloured"/>
      </w:pPr>
      <w:r w:rsidRPr="003A0D57">
        <w:t>number and type of applications made</w:t>
      </w:r>
      <w:r w:rsidR="00025509">
        <w:t>;</w:t>
      </w:r>
    </w:p>
    <w:p w14:paraId="0FC35635" w14:textId="521DB2CD" w:rsidR="003A0D57" w:rsidRPr="003A0D57" w:rsidRDefault="00F87026" w:rsidP="00270984">
      <w:pPr>
        <w:pStyle w:val="Listbulletcoloured"/>
      </w:pPr>
      <w:r w:rsidRPr="00252955">
        <w:t>number of</w:t>
      </w:r>
      <w:r w:rsidR="0099438E">
        <w:t xml:space="preserve"> </w:t>
      </w:r>
      <w:r w:rsidR="009662AF">
        <w:t xml:space="preserve">compulsory </w:t>
      </w:r>
      <w:r w:rsidRPr="00252955">
        <w:t>treatment orders made, their</w:t>
      </w:r>
      <w:r w:rsidR="00CD3A05">
        <w:t xml:space="preserve"> </w:t>
      </w:r>
      <w:r w:rsidRPr="00252955">
        <w:t>setting and duration</w:t>
      </w:r>
      <w:r w:rsidR="00025509">
        <w:t>;</w:t>
      </w:r>
    </w:p>
    <w:p w14:paraId="08AE36A4" w14:textId="5861392A" w:rsidR="003A0D57" w:rsidRPr="003A0D57" w:rsidRDefault="00B534DB" w:rsidP="00651DD8">
      <w:pPr>
        <w:pStyle w:val="Listbulletcoloured"/>
      </w:pPr>
      <w:r>
        <w:t xml:space="preserve">number of </w:t>
      </w:r>
      <w:r w:rsidR="009662AF">
        <w:t>compulsory treatment</w:t>
      </w:r>
      <w:r>
        <w:t xml:space="preserve"> orders revoked prior to expiring</w:t>
      </w:r>
      <w:r w:rsidR="00025509">
        <w:t>;</w:t>
      </w:r>
    </w:p>
    <w:p w14:paraId="795E3C5B" w14:textId="24DAE02B" w:rsidR="003A0D57" w:rsidRPr="003A0D57" w:rsidRDefault="003A0D57" w:rsidP="00651DD8">
      <w:pPr>
        <w:pStyle w:val="Listbulletcoloured"/>
      </w:pPr>
      <w:r w:rsidRPr="003A0D57">
        <w:t>number of orders made for ECT</w:t>
      </w:r>
      <w:r w:rsidR="00025509">
        <w:t>;</w:t>
      </w:r>
    </w:p>
    <w:p w14:paraId="7F0A84FB" w14:textId="7BD69846" w:rsidR="003A0D57" w:rsidRDefault="003A0D57" w:rsidP="00591E06">
      <w:pPr>
        <w:pStyle w:val="Listbulletcoloured"/>
      </w:pPr>
      <w:r w:rsidRPr="003A0D57">
        <w:t>number of courses of ECT undertaken</w:t>
      </w:r>
      <w:r w:rsidR="00025509">
        <w:t>;</w:t>
      </w:r>
    </w:p>
    <w:p w14:paraId="16F5EC93" w14:textId="729CC0A5" w:rsidR="003A0D57" w:rsidRPr="003A0D57" w:rsidRDefault="00305B73" w:rsidP="00591E06">
      <w:pPr>
        <w:pStyle w:val="Listbulletcoloured"/>
      </w:pPr>
      <w:r>
        <w:t>length of time on an order for each consumer (including under consecutive compulsory treatment orders)</w:t>
      </w:r>
      <w:r w:rsidR="00025509">
        <w:t>;</w:t>
      </w:r>
    </w:p>
    <w:p w14:paraId="530E8881" w14:textId="4AA79A7E" w:rsidR="003A0D57" w:rsidRPr="003A0D57" w:rsidRDefault="00860D5F" w:rsidP="00591E06">
      <w:pPr>
        <w:pStyle w:val="Listbulletcoloured"/>
      </w:pPr>
      <w:r w:rsidRPr="003A0D57">
        <w:t>type</w:t>
      </w:r>
      <w:r w:rsidR="006A5B55" w:rsidRPr="003A0D57">
        <w:t xml:space="preserve"> of order a person was on at the time of their hearing</w:t>
      </w:r>
      <w:r w:rsidR="008E3C47" w:rsidRPr="003A0D57">
        <w:t xml:space="preserve"> and any order made at the hearing</w:t>
      </w:r>
      <w:r w:rsidR="00025509">
        <w:t>;</w:t>
      </w:r>
    </w:p>
    <w:p w14:paraId="79D46EEE" w14:textId="5FC92F51" w:rsidR="003A0D57" w:rsidRPr="003A0D57" w:rsidRDefault="00BD2A52" w:rsidP="00591E06">
      <w:pPr>
        <w:pStyle w:val="Listbulletcoloured"/>
      </w:pPr>
      <w:r>
        <w:t xml:space="preserve">order sought </w:t>
      </w:r>
      <w:r w:rsidR="004E70E5">
        <w:t xml:space="preserve">(including setting and duration) and </w:t>
      </w:r>
      <w:r w:rsidR="00F80A93">
        <w:t>any</w:t>
      </w:r>
      <w:r w:rsidR="004E70E5">
        <w:t xml:space="preserve"> order made (including setting and duration</w:t>
      </w:r>
      <w:r w:rsidR="004E70E5" w:rsidRPr="003A0D57">
        <w:t>)</w:t>
      </w:r>
      <w:r w:rsidR="00025509">
        <w:t>;</w:t>
      </w:r>
      <w:r w:rsidR="00270984">
        <w:t xml:space="preserve"> and</w:t>
      </w:r>
    </w:p>
    <w:p w14:paraId="609E8F1C" w14:textId="7196D0BA" w:rsidR="00F87026" w:rsidRPr="00B67639" w:rsidRDefault="00F87026" w:rsidP="00591E06">
      <w:pPr>
        <w:pStyle w:val="Listbulletcoloured"/>
      </w:pPr>
      <w:r w:rsidRPr="00C028B1">
        <w:t>number of substituted decisions made on the basis that a person does not have capacity to make their own decision, or that the person has capacity and is refusing the proposed treatment.</w:t>
      </w:r>
    </w:p>
    <w:p w14:paraId="7A594E96" w14:textId="02CDA8F3" w:rsidR="00CA7BC3" w:rsidRPr="00B67639" w:rsidRDefault="00AA3BDE" w:rsidP="002915D4">
      <w:pPr>
        <w:pStyle w:val="Listbulletcoloured"/>
        <w:pageBreakBefore/>
        <w:numPr>
          <w:ilvl w:val="0"/>
          <w:numId w:val="0"/>
        </w:numPr>
      </w:pPr>
      <w:r>
        <w:lastRenderedPageBreak/>
        <w:t>Data</w:t>
      </w:r>
      <w:r w:rsidR="009C7517">
        <w:t xml:space="preserve"> should be reported in a way that makes it possible to cross-reference</w:t>
      </w:r>
      <w:r w:rsidR="00755E2C">
        <w:t xml:space="preserve"> </w:t>
      </w:r>
      <w:r w:rsidR="00292D8F">
        <w:t>between</w:t>
      </w:r>
      <w:r w:rsidR="00A22734">
        <w:t xml:space="preserve"> </w:t>
      </w:r>
      <w:r w:rsidR="00292D8F">
        <w:t xml:space="preserve">datasets </w:t>
      </w:r>
      <w:r w:rsidR="00776C1C">
        <w:t xml:space="preserve">to provide a clearer picture </w:t>
      </w:r>
      <w:r w:rsidR="00A22734">
        <w:t>of service</w:t>
      </w:r>
      <w:r w:rsidR="00860D5F">
        <w:t>s,</w:t>
      </w:r>
      <w:r w:rsidR="00A22734">
        <w:t xml:space="preserve"> Tribunal practice and consumer experience.</w:t>
      </w:r>
      <w:r w:rsidR="007E3AE2">
        <w:t xml:space="preserve"> </w:t>
      </w:r>
      <w:r w:rsidR="00CA7BC3" w:rsidRPr="00DB38B3">
        <w:t xml:space="preserve">For mental health services to </w:t>
      </w:r>
      <w:r w:rsidR="00CA7BC3">
        <w:t>provide responsive services</w:t>
      </w:r>
      <w:r w:rsidR="00CA7BC3" w:rsidRPr="00DB38B3">
        <w:t xml:space="preserve">, they need to </w:t>
      </w:r>
      <w:r w:rsidR="00CA7BC3">
        <w:t>appropriately collect</w:t>
      </w:r>
      <w:r w:rsidR="025B487F">
        <w:t>,</w:t>
      </w:r>
      <w:r w:rsidR="00CA7BC3">
        <w:t xml:space="preserve"> </w:t>
      </w:r>
      <w:r w:rsidR="00CA7BC3" w:rsidRPr="00DB38B3">
        <w:t>use</w:t>
      </w:r>
      <w:r w:rsidR="00CA7BC3">
        <w:t xml:space="preserve"> and publicly report on</w:t>
      </w:r>
      <w:r w:rsidR="00CA7BC3" w:rsidRPr="00DB38B3">
        <w:t xml:space="preserve"> demographic data for their service</w:t>
      </w:r>
      <w:r w:rsidR="00CA7BC3">
        <w:t>.</w:t>
      </w:r>
      <w:r w:rsidR="00CA7BC3">
        <w:rPr>
          <w:rStyle w:val="FootnoteReference"/>
        </w:rPr>
        <w:footnoteReference w:id="94"/>
      </w:r>
      <w:r w:rsidR="00CA7BC3">
        <w:t xml:space="preserve"> </w:t>
      </w:r>
      <w:r w:rsidR="00317CE9">
        <w:t>Consumer</w:t>
      </w:r>
      <w:r w:rsidR="00CA7BC3">
        <w:t xml:space="preserve"> reported outcome and experience measures should reflect diversity to ensure cohorts within the Victorian community have access to high quality and non-discriminatory mental healthcare.</w:t>
      </w:r>
      <w:r w:rsidR="00CA7BC3">
        <w:rPr>
          <w:rStyle w:val="FootnoteReference"/>
        </w:rPr>
        <w:footnoteReference w:id="95"/>
      </w:r>
    </w:p>
    <w:p w14:paraId="6DF4F24A" w14:textId="07546ED5" w:rsidR="00FC0A9D" w:rsidRPr="001028B6" w:rsidRDefault="003C1CF3" w:rsidP="002915D4">
      <w:pPr>
        <w:shd w:val="clear" w:color="auto" w:fill="DEEAF6" w:themeFill="accent5" w:themeFillTint="33"/>
        <w:spacing w:line="240" w:lineRule="auto"/>
        <w:ind w:left="3119" w:hanging="2693"/>
      </w:pPr>
      <w:bookmarkStart w:id="2633" w:name="_Toc40355766"/>
      <w:bookmarkStart w:id="2634" w:name="_Toc41325361"/>
      <w:bookmarkStart w:id="2635" w:name="_Toc41332810"/>
      <w:bookmarkStart w:id="2636" w:name="_Toc41411953"/>
      <w:r w:rsidRPr="00B9060C">
        <w:rPr>
          <w:b/>
          <w:bCs/>
        </w:rPr>
        <w:t xml:space="preserve">Recommendation </w:t>
      </w:r>
      <w:r>
        <w:rPr>
          <w:b/>
          <w:bCs/>
        </w:rPr>
        <w:t xml:space="preserve">25: </w:t>
      </w:r>
      <w:r w:rsidR="00EC0622">
        <w:rPr>
          <w:b/>
          <w:bCs/>
        </w:rPr>
        <w:tab/>
      </w:r>
      <w:r w:rsidR="00935819" w:rsidRPr="003C1CF3">
        <w:rPr>
          <w:b/>
          <w:bCs/>
        </w:rPr>
        <w:t>Improve d</w:t>
      </w:r>
      <w:r w:rsidR="00C028B1" w:rsidRPr="003C1CF3">
        <w:rPr>
          <w:b/>
          <w:bCs/>
        </w:rPr>
        <w:t xml:space="preserve">ata collection and </w:t>
      </w:r>
      <w:r w:rsidR="00935819" w:rsidRPr="003C1CF3">
        <w:rPr>
          <w:b/>
          <w:bCs/>
        </w:rPr>
        <w:t xml:space="preserve">public </w:t>
      </w:r>
      <w:r w:rsidR="00C028B1" w:rsidRPr="003C1CF3">
        <w:rPr>
          <w:b/>
          <w:bCs/>
        </w:rPr>
        <w:t>reporting</w:t>
      </w:r>
      <w:bookmarkEnd w:id="2633"/>
      <w:r w:rsidR="00935819" w:rsidRPr="003C1CF3">
        <w:rPr>
          <w:b/>
          <w:bCs/>
        </w:rPr>
        <w:t xml:space="preserve"> of mental health service</w:t>
      </w:r>
      <w:bookmarkEnd w:id="2634"/>
      <w:bookmarkEnd w:id="2635"/>
      <w:bookmarkEnd w:id="2636"/>
      <w:r w:rsidR="00FC0A9D" w:rsidRPr="003C1CF3">
        <w:rPr>
          <w:b/>
          <w:bCs/>
        </w:rPr>
        <w:t>s</w:t>
      </w:r>
    </w:p>
    <w:p w14:paraId="29836FE9" w14:textId="332A0455" w:rsidR="00C418EA" w:rsidRPr="00554841" w:rsidRDefault="00C028B1" w:rsidP="002915D4">
      <w:pPr>
        <w:shd w:val="clear" w:color="auto" w:fill="DEEAF6" w:themeFill="accent5" w:themeFillTint="33"/>
        <w:ind w:left="426"/>
      </w:pPr>
      <w:r w:rsidRPr="003C1CF3">
        <w:t>The Department of Health and Human Services and the Mental Health Tribunal should publicly report service</w:t>
      </w:r>
      <w:r w:rsidRPr="003C1CF3" w:rsidDel="002B2DA3">
        <w:t xml:space="preserve"> </w:t>
      </w:r>
      <w:r w:rsidRPr="003C1CF3">
        <w:t xml:space="preserve">level </w:t>
      </w:r>
      <w:r w:rsidR="0B51DBE6" w:rsidRPr="003C1CF3">
        <w:t xml:space="preserve">and demographic </w:t>
      </w:r>
      <w:r w:rsidR="6C750837" w:rsidRPr="003C1CF3">
        <w:t>data</w:t>
      </w:r>
      <w:r w:rsidR="00CA7BC3" w:rsidRPr="003C1CF3">
        <w:t xml:space="preserve"> </w:t>
      </w:r>
      <w:r w:rsidR="00F87026" w:rsidRPr="003C1CF3">
        <w:t>to improve transparency and accountability</w:t>
      </w:r>
      <w:r w:rsidR="0001545A" w:rsidRPr="003C1CF3">
        <w:t>,</w:t>
      </w:r>
      <w:r w:rsidR="00CD3A05" w:rsidRPr="003C1CF3">
        <w:t xml:space="preserve"> and support service planning and delivery</w:t>
      </w:r>
      <w:r w:rsidR="00C44900" w:rsidRPr="003C1CF3">
        <w:t>.</w:t>
      </w:r>
    </w:p>
    <w:p w14:paraId="09C424C8" w14:textId="422BEFD2" w:rsidR="00982287" w:rsidRPr="004F028F" w:rsidRDefault="00982287" w:rsidP="00E630C0">
      <w:pPr>
        <w:pStyle w:val="Heading3"/>
      </w:pPr>
      <w:r>
        <w:t>Performance measures</w:t>
      </w:r>
    </w:p>
    <w:p w14:paraId="7DE82A9E" w14:textId="6A4A2221" w:rsidR="00D91C50" w:rsidRDefault="00252955" w:rsidP="004F7C7B">
      <w:pPr>
        <w:rPr>
          <w:lang w:eastAsia="en-AU"/>
        </w:rPr>
      </w:pPr>
      <w:r w:rsidRPr="004F028F">
        <w:rPr>
          <w:lang w:eastAsia="en-AU"/>
        </w:rPr>
        <w:t>Currently</w:t>
      </w:r>
      <w:r w:rsidR="00025509">
        <w:rPr>
          <w:lang w:eastAsia="en-AU"/>
        </w:rPr>
        <w:t>,</w:t>
      </w:r>
      <w:r w:rsidRPr="004F028F">
        <w:rPr>
          <w:lang w:eastAsia="en-AU"/>
        </w:rPr>
        <w:t xml:space="preserve"> there are few publicly available mental health performance measures that are outcome based or include consumer feedback. </w:t>
      </w:r>
      <w:r w:rsidR="00CB2A56" w:rsidRPr="00356BEB">
        <w:rPr>
          <w:lang w:eastAsia="en-AU"/>
        </w:rPr>
        <w:t xml:space="preserve">The Royal Commission </w:t>
      </w:r>
      <w:r w:rsidR="00C028B1">
        <w:rPr>
          <w:lang w:eastAsia="en-AU"/>
        </w:rPr>
        <w:t>has an opportunity to</w:t>
      </w:r>
      <w:r w:rsidR="00CB2A56" w:rsidRPr="00356BEB">
        <w:rPr>
          <w:lang w:eastAsia="en-AU"/>
        </w:rPr>
        <w:t xml:space="preserve"> </w:t>
      </w:r>
      <w:r w:rsidR="00CB2A56">
        <w:rPr>
          <w:lang w:eastAsia="en-AU"/>
        </w:rPr>
        <w:t>recommend the implementation of</w:t>
      </w:r>
      <w:r w:rsidR="00CB2A56" w:rsidRPr="00356BEB">
        <w:rPr>
          <w:lang w:eastAsia="en-AU"/>
        </w:rPr>
        <w:t xml:space="preserve"> systems and processes to </w:t>
      </w:r>
      <w:r w:rsidR="00CB2A56">
        <w:rPr>
          <w:lang w:eastAsia="en-AU"/>
        </w:rPr>
        <w:t xml:space="preserve">evaluate, </w:t>
      </w:r>
      <w:r w:rsidR="00CB2A56" w:rsidRPr="00356BEB">
        <w:rPr>
          <w:lang w:eastAsia="en-AU"/>
        </w:rPr>
        <w:t xml:space="preserve">measure and monitor whether </w:t>
      </w:r>
      <w:r w:rsidR="00C028B1">
        <w:rPr>
          <w:lang w:eastAsia="en-AU"/>
        </w:rPr>
        <w:t>Victoria’s mental health</w:t>
      </w:r>
      <w:r w:rsidR="00CB2A56" w:rsidRPr="00356BEB">
        <w:rPr>
          <w:lang w:eastAsia="en-AU"/>
        </w:rPr>
        <w:t xml:space="preserve"> system is meeting the needs of consumers, and </w:t>
      </w:r>
      <w:r w:rsidR="00C028B1">
        <w:rPr>
          <w:lang w:eastAsia="en-AU"/>
        </w:rPr>
        <w:t>for the Victorian Government to quickly</w:t>
      </w:r>
      <w:r w:rsidR="00CB2A56" w:rsidRPr="00356BEB">
        <w:rPr>
          <w:lang w:eastAsia="en-AU"/>
        </w:rPr>
        <w:t xml:space="preserve"> respond when it is not</w:t>
      </w:r>
      <w:r w:rsidR="00DB37BE">
        <w:rPr>
          <w:lang w:eastAsia="en-AU"/>
        </w:rPr>
        <w:t xml:space="preserve">. Performance measures should also </w:t>
      </w:r>
      <w:r w:rsidR="00CB2A56" w:rsidRPr="00356BEB">
        <w:rPr>
          <w:lang w:eastAsia="en-AU"/>
        </w:rPr>
        <w:t>include</w:t>
      </w:r>
      <w:r w:rsidR="00DB37BE">
        <w:rPr>
          <w:lang w:eastAsia="en-AU"/>
        </w:rPr>
        <w:t xml:space="preserve"> c</w:t>
      </w:r>
      <w:r w:rsidR="00C028B1">
        <w:t>lear</w:t>
      </w:r>
      <w:r w:rsidR="00CB2A56" w:rsidRPr="00356BEB">
        <w:t xml:space="preserve"> system </w:t>
      </w:r>
      <w:r w:rsidR="00C028B1">
        <w:t>objectives</w:t>
      </w:r>
      <w:r w:rsidR="00CB2A56" w:rsidRPr="00356BEB">
        <w:t xml:space="preserve"> </w:t>
      </w:r>
      <w:r w:rsidR="00DB37BE">
        <w:t>to reduce compulsory treatment, c</w:t>
      </w:r>
      <w:r w:rsidR="00C028B1">
        <w:t>apacity-building and implementation frameworks to meet these objectives in practice</w:t>
      </w:r>
      <w:r w:rsidR="00DB37BE">
        <w:t>, and independent monitoring and evaluation of outcomes.</w:t>
      </w:r>
      <w:r w:rsidR="006B3437">
        <w:rPr>
          <w:lang w:eastAsia="en-AU"/>
        </w:rPr>
        <w:t xml:space="preserve"> </w:t>
      </w:r>
    </w:p>
    <w:p w14:paraId="73078AC2" w14:textId="0BB58A2F" w:rsidR="00C028B1" w:rsidRDefault="00C028B1" w:rsidP="004F7C7B">
      <w:pPr>
        <w:rPr>
          <w:lang w:eastAsia="en-AU"/>
        </w:rPr>
      </w:pPr>
      <w:r w:rsidRPr="00C028B1">
        <w:rPr>
          <w:lang w:eastAsia="en-AU"/>
        </w:rPr>
        <w:t xml:space="preserve">Recovery-based assessment and treatment objectives, </w:t>
      </w:r>
      <w:r>
        <w:rPr>
          <w:lang w:eastAsia="en-AU"/>
        </w:rPr>
        <w:t xml:space="preserve">policies </w:t>
      </w:r>
      <w:r w:rsidR="006B3437">
        <w:rPr>
          <w:lang w:eastAsia="en-AU"/>
        </w:rPr>
        <w:t>and</w:t>
      </w:r>
      <w:r>
        <w:rPr>
          <w:lang w:eastAsia="en-AU"/>
        </w:rPr>
        <w:t xml:space="preserve"> frameworks</w:t>
      </w:r>
      <w:r w:rsidRPr="00C028B1">
        <w:rPr>
          <w:lang w:eastAsia="en-AU"/>
        </w:rPr>
        <w:t xml:space="preserve"> </w:t>
      </w:r>
      <w:r w:rsidR="006B607B">
        <w:rPr>
          <w:lang w:eastAsia="en-AU"/>
        </w:rPr>
        <w:t>should</w:t>
      </w:r>
      <w:r w:rsidR="006B607B" w:rsidRPr="00C028B1">
        <w:rPr>
          <w:lang w:eastAsia="en-AU"/>
        </w:rPr>
        <w:t xml:space="preserve"> </w:t>
      </w:r>
      <w:r w:rsidR="006B3437">
        <w:rPr>
          <w:lang w:eastAsia="en-AU"/>
        </w:rPr>
        <w:t>also</w:t>
      </w:r>
      <w:r w:rsidR="006B607B" w:rsidRPr="00C028B1">
        <w:rPr>
          <w:lang w:eastAsia="en-AU"/>
        </w:rPr>
        <w:t xml:space="preserve"> </w:t>
      </w:r>
      <w:r w:rsidRPr="00C028B1">
        <w:rPr>
          <w:lang w:eastAsia="en-AU"/>
        </w:rPr>
        <w:t>be incorporated into the program plans for all mental health services and the Mental Health Tribunal</w:t>
      </w:r>
      <w:r>
        <w:rPr>
          <w:lang w:eastAsia="en-AU"/>
        </w:rPr>
        <w:t xml:space="preserve">. </w:t>
      </w:r>
      <w:r w:rsidR="00001179">
        <w:rPr>
          <w:lang w:eastAsia="en-AU"/>
        </w:rPr>
        <w:t xml:space="preserve">For example, </w:t>
      </w:r>
      <w:r w:rsidR="00025509">
        <w:rPr>
          <w:lang w:eastAsia="en-AU"/>
        </w:rPr>
        <w:t>DHHS’</w:t>
      </w:r>
      <w:r w:rsidR="00001179">
        <w:rPr>
          <w:lang w:eastAsia="en-AU"/>
        </w:rPr>
        <w:t xml:space="preserve"> </w:t>
      </w:r>
      <w:r w:rsidR="00001179" w:rsidRPr="00001179">
        <w:rPr>
          <w:lang w:eastAsia="en-AU"/>
        </w:rPr>
        <w:t>outcome measures for SECUs</w:t>
      </w:r>
      <w:r w:rsidR="00001179">
        <w:rPr>
          <w:lang w:eastAsia="en-AU"/>
        </w:rPr>
        <w:t xml:space="preserve"> should include</w:t>
      </w:r>
      <w:r w:rsidR="00001179" w:rsidRPr="00001179">
        <w:rPr>
          <w:lang w:eastAsia="en-AU"/>
        </w:rPr>
        <w:t xml:space="preserve"> lengths of stays and consumers’ experiences. Data on these measures should be published and practice learnings shared between services.</w:t>
      </w:r>
    </w:p>
    <w:p w14:paraId="6C18469E" w14:textId="7DA5C802" w:rsidR="00CB2A56" w:rsidRPr="003C1CF3" w:rsidRDefault="003C1CF3" w:rsidP="002915D4">
      <w:pPr>
        <w:shd w:val="clear" w:color="auto" w:fill="DEEAF6" w:themeFill="accent5" w:themeFillTint="33"/>
        <w:spacing w:line="240" w:lineRule="auto"/>
        <w:ind w:left="3119" w:hanging="2693"/>
      </w:pPr>
      <w:bookmarkStart w:id="2637" w:name="_Toc40355769"/>
      <w:bookmarkStart w:id="2638" w:name="_Toc41325362"/>
      <w:bookmarkStart w:id="2639" w:name="_Toc41332812"/>
      <w:bookmarkStart w:id="2640" w:name="_Toc41411954"/>
      <w:r w:rsidRPr="00B9060C">
        <w:rPr>
          <w:b/>
          <w:bCs/>
        </w:rPr>
        <w:t xml:space="preserve">Recommendation </w:t>
      </w:r>
      <w:r>
        <w:rPr>
          <w:b/>
          <w:bCs/>
        </w:rPr>
        <w:t xml:space="preserve">26: </w:t>
      </w:r>
      <w:r w:rsidR="00EC0622">
        <w:rPr>
          <w:b/>
          <w:bCs/>
        </w:rPr>
        <w:tab/>
      </w:r>
      <w:r w:rsidR="00935819" w:rsidRPr="003C1CF3">
        <w:rPr>
          <w:b/>
          <w:bCs/>
        </w:rPr>
        <w:t xml:space="preserve">Introduce a </w:t>
      </w:r>
      <w:proofErr w:type="spellStart"/>
      <w:r w:rsidR="00935819" w:rsidRPr="003C1CF3">
        <w:rPr>
          <w:b/>
          <w:bCs/>
        </w:rPr>
        <w:t>s</w:t>
      </w:r>
      <w:r w:rsidR="00007B95" w:rsidRPr="003C1CF3">
        <w:rPr>
          <w:b/>
          <w:bCs/>
        </w:rPr>
        <w:t>tatewide</w:t>
      </w:r>
      <w:proofErr w:type="spellEnd"/>
      <w:r w:rsidR="00007B95" w:rsidRPr="003C1CF3">
        <w:rPr>
          <w:b/>
          <w:bCs/>
        </w:rPr>
        <w:t xml:space="preserve"> m</w:t>
      </w:r>
      <w:r w:rsidR="00CB2A56" w:rsidRPr="003C1CF3">
        <w:rPr>
          <w:b/>
          <w:bCs/>
        </w:rPr>
        <w:t>ental health system</w:t>
      </w:r>
      <w:r w:rsidR="00361E35" w:rsidRPr="003C1CF3">
        <w:rPr>
          <w:b/>
          <w:bCs/>
        </w:rPr>
        <w:t xml:space="preserve"> monitoring and evaluation framework</w:t>
      </w:r>
      <w:r w:rsidR="00C028B1" w:rsidRPr="003C1CF3">
        <w:rPr>
          <w:b/>
          <w:bCs/>
        </w:rPr>
        <w:t xml:space="preserve"> </w:t>
      </w:r>
      <w:bookmarkEnd w:id="2637"/>
      <w:r w:rsidR="00B82047" w:rsidRPr="003C1CF3">
        <w:rPr>
          <w:b/>
          <w:bCs/>
        </w:rPr>
        <w:t>for Victoria</w:t>
      </w:r>
      <w:bookmarkEnd w:id="2638"/>
      <w:bookmarkEnd w:id="2639"/>
      <w:bookmarkEnd w:id="2640"/>
    </w:p>
    <w:p w14:paraId="7A5A0D36" w14:textId="1EDF6983" w:rsidR="00CB2A56" w:rsidRPr="003C1CF3" w:rsidRDefault="00CB2A56" w:rsidP="002915D4">
      <w:pPr>
        <w:shd w:val="clear" w:color="auto" w:fill="DEEAF6" w:themeFill="accent5" w:themeFillTint="33"/>
        <w:ind w:left="426"/>
      </w:pPr>
      <w:r w:rsidRPr="003C1CF3">
        <w:t xml:space="preserve">The </w:t>
      </w:r>
      <w:r w:rsidR="00C028B1" w:rsidRPr="003C1CF3">
        <w:t>Department of Health and Human Services</w:t>
      </w:r>
      <w:r w:rsidR="00CE112F" w:rsidRPr="003C1CF3">
        <w:t>,</w:t>
      </w:r>
      <w:r w:rsidR="00C028B1" w:rsidRPr="003C1CF3">
        <w:t xml:space="preserve"> Mental Health Reform Victoria</w:t>
      </w:r>
      <w:r w:rsidRPr="003C1CF3">
        <w:t xml:space="preserve"> </w:t>
      </w:r>
      <w:r w:rsidR="00CE112F" w:rsidRPr="003C1CF3">
        <w:t>or an appropriate regulator</w:t>
      </w:r>
      <w:r w:rsidRPr="003C1CF3">
        <w:t xml:space="preserve"> should work with</w:t>
      </w:r>
      <w:r w:rsidR="00C028B1" w:rsidRPr="003C1CF3">
        <w:t xml:space="preserve"> mental health services and consumers to </w:t>
      </w:r>
      <w:r w:rsidR="00361E35" w:rsidRPr="003C1CF3">
        <w:t>develop a state</w:t>
      </w:r>
      <w:r w:rsidR="00DC7B9A" w:rsidRPr="003C1CF3">
        <w:t>-</w:t>
      </w:r>
      <w:r w:rsidR="00361E35" w:rsidRPr="003C1CF3">
        <w:t xml:space="preserve">wide monitoring and evaluation framework which sets out </w:t>
      </w:r>
      <w:r w:rsidR="00C028B1" w:rsidRPr="003C1CF3">
        <w:t>clearly define</w:t>
      </w:r>
      <w:r w:rsidR="00361E35" w:rsidRPr="003C1CF3">
        <w:t>d</w:t>
      </w:r>
      <w:r w:rsidR="00C028B1" w:rsidRPr="003C1CF3">
        <w:t xml:space="preserve"> </w:t>
      </w:r>
      <w:r w:rsidR="00361E35" w:rsidRPr="003C1CF3">
        <w:t>targets, basic standards and</w:t>
      </w:r>
      <w:r w:rsidR="00C028B1" w:rsidRPr="003C1CF3">
        <w:t xml:space="preserve"> objectives </w:t>
      </w:r>
      <w:r w:rsidRPr="003C1CF3">
        <w:t xml:space="preserve">for the mental health system. </w:t>
      </w:r>
    </w:p>
    <w:p w14:paraId="3BC0FE83" w14:textId="3664F611" w:rsidR="00C028B1" w:rsidRPr="003C1CF3" w:rsidRDefault="003C1CF3" w:rsidP="002915D4">
      <w:pPr>
        <w:shd w:val="clear" w:color="auto" w:fill="DEEAF6" w:themeFill="accent5" w:themeFillTint="33"/>
        <w:ind w:left="3119" w:hanging="2693"/>
      </w:pPr>
      <w:bookmarkStart w:id="2641" w:name="_Toc40355770"/>
      <w:bookmarkStart w:id="2642" w:name="_Toc41325363"/>
      <w:bookmarkStart w:id="2643" w:name="_Toc41332813"/>
      <w:bookmarkStart w:id="2644" w:name="_Toc41411955"/>
      <w:r w:rsidRPr="00B9060C">
        <w:rPr>
          <w:b/>
          <w:bCs/>
        </w:rPr>
        <w:t xml:space="preserve">Recommendation </w:t>
      </w:r>
      <w:r>
        <w:rPr>
          <w:b/>
          <w:bCs/>
        </w:rPr>
        <w:t xml:space="preserve">27: </w:t>
      </w:r>
      <w:r w:rsidR="00EC0622">
        <w:rPr>
          <w:b/>
          <w:bCs/>
        </w:rPr>
        <w:tab/>
      </w:r>
      <w:r w:rsidR="00935819" w:rsidRPr="003C1CF3">
        <w:rPr>
          <w:b/>
          <w:bCs/>
        </w:rPr>
        <w:t>Require c</w:t>
      </w:r>
      <w:r w:rsidR="00C028B1" w:rsidRPr="003C1CF3">
        <w:rPr>
          <w:b/>
          <w:bCs/>
        </w:rPr>
        <w:t>o-produced monitoring and evaluation frameworks</w:t>
      </w:r>
      <w:bookmarkEnd w:id="2641"/>
      <w:r w:rsidR="00B82047" w:rsidRPr="003C1CF3">
        <w:rPr>
          <w:b/>
          <w:bCs/>
        </w:rPr>
        <w:t xml:space="preserve"> for </w:t>
      </w:r>
      <w:r w:rsidR="00007B95" w:rsidRPr="003C1CF3">
        <w:rPr>
          <w:b/>
          <w:bCs/>
        </w:rPr>
        <w:t xml:space="preserve">mental health </w:t>
      </w:r>
      <w:r w:rsidR="00B82047" w:rsidRPr="003C1CF3">
        <w:rPr>
          <w:b/>
          <w:bCs/>
        </w:rPr>
        <w:t>services</w:t>
      </w:r>
      <w:bookmarkEnd w:id="2642"/>
      <w:bookmarkEnd w:id="2643"/>
      <w:bookmarkEnd w:id="2644"/>
    </w:p>
    <w:p w14:paraId="46084DBD" w14:textId="216AAEA5" w:rsidR="000943B8" w:rsidRPr="003C1CF3" w:rsidRDefault="00C028B1" w:rsidP="002915D4">
      <w:pPr>
        <w:shd w:val="clear" w:color="auto" w:fill="DEEAF6" w:themeFill="accent5" w:themeFillTint="33"/>
        <w:ind w:left="426"/>
      </w:pPr>
      <w:r w:rsidRPr="003C1CF3">
        <w:t xml:space="preserve">Mental Health Reform Victoria </w:t>
      </w:r>
      <w:r w:rsidR="00CE112F" w:rsidRPr="003C1CF3">
        <w:t>or an appropriate regulator</w:t>
      </w:r>
      <w:r w:rsidRPr="003C1CF3">
        <w:t xml:space="preserve"> should </w:t>
      </w:r>
      <w:r w:rsidR="00756766" w:rsidRPr="003C1CF3">
        <w:t xml:space="preserve">ensure </w:t>
      </w:r>
      <w:r w:rsidRPr="003C1CF3">
        <w:t>mental health services d</w:t>
      </w:r>
      <w:r w:rsidR="000943B8" w:rsidRPr="003C1CF3">
        <w:t>evelop</w:t>
      </w:r>
      <w:r w:rsidRPr="003C1CF3">
        <w:t xml:space="preserve"> c</w:t>
      </w:r>
      <w:r w:rsidR="000943B8" w:rsidRPr="003C1CF3">
        <w:t xml:space="preserve">o-produced </w:t>
      </w:r>
      <w:r w:rsidR="005E4BBE" w:rsidRPr="003C1CF3">
        <w:t xml:space="preserve">service-based </w:t>
      </w:r>
      <w:r w:rsidR="000943B8" w:rsidRPr="003C1CF3">
        <w:t>monitoring and evaluation framework</w:t>
      </w:r>
      <w:r w:rsidRPr="003C1CF3">
        <w:t>s</w:t>
      </w:r>
      <w:r w:rsidR="000943B8" w:rsidRPr="003C1CF3">
        <w:t xml:space="preserve"> </w:t>
      </w:r>
      <w:r w:rsidR="00ED550C" w:rsidRPr="003C1CF3">
        <w:t>tailored to the needs of</w:t>
      </w:r>
      <w:r w:rsidR="000943B8" w:rsidRPr="003C1CF3">
        <w:t xml:space="preserve"> consumers </w:t>
      </w:r>
      <w:r w:rsidR="00ED550C" w:rsidRPr="003C1CF3">
        <w:t>accessing each service</w:t>
      </w:r>
      <w:r w:rsidR="000943B8" w:rsidRPr="003C1CF3">
        <w:t xml:space="preserve"> to ensure effective implementation of existing and new policies and guidelines.</w:t>
      </w:r>
      <w:r w:rsidR="002915D4">
        <w:rPr>
          <w:rStyle w:val="FootnoteReference"/>
        </w:rPr>
        <w:footnoteReference w:id="96"/>
      </w:r>
    </w:p>
    <w:p w14:paraId="7E88B087" w14:textId="51B249C9" w:rsidR="00001179" w:rsidRPr="00B108FC" w:rsidRDefault="009D0845">
      <w:pPr>
        <w:pStyle w:val="Heading2"/>
      </w:pPr>
      <w:bookmarkStart w:id="2645" w:name="_Toc41651962"/>
      <w:r>
        <w:lastRenderedPageBreak/>
        <w:t>Regulation and</w:t>
      </w:r>
      <w:r w:rsidR="00001179" w:rsidRPr="00001179">
        <w:t xml:space="preserve"> oversight</w:t>
      </w:r>
      <w:bookmarkEnd w:id="2645"/>
    </w:p>
    <w:p w14:paraId="2316ACEF" w14:textId="2AA352E8" w:rsidR="001B1D49" w:rsidRPr="001B1D49" w:rsidRDefault="007C7B37" w:rsidP="001B1D49">
      <w:pPr>
        <w:rPr>
          <w:lang w:eastAsia="en-AU"/>
        </w:rPr>
      </w:pPr>
      <w:r>
        <w:rPr>
          <w:lang w:eastAsia="en-AU"/>
        </w:rPr>
        <w:t xml:space="preserve">In Victoria’s mental health system, </w:t>
      </w:r>
      <w:r w:rsidRPr="00281CA3">
        <w:rPr>
          <w:lang w:eastAsia="en-AU"/>
        </w:rPr>
        <w:t xml:space="preserve">existing oversight mechanisms </w:t>
      </w:r>
      <w:r>
        <w:rPr>
          <w:lang w:eastAsia="en-AU"/>
        </w:rPr>
        <w:t>have different funding and reporting arrangements</w:t>
      </w:r>
      <w:r w:rsidR="0079294E" w:rsidRPr="00281CA3">
        <w:rPr>
          <w:lang w:eastAsia="en-AU"/>
        </w:rPr>
        <w:t>, including the Office of the Chief Psychiatrist, the Mental Health Complaints Commissioner and the Mental Health Tribunal.</w:t>
      </w:r>
      <w:r w:rsidR="0079294E">
        <w:rPr>
          <w:lang w:eastAsia="en-AU"/>
        </w:rPr>
        <w:t xml:space="preserve"> </w:t>
      </w:r>
      <w:r w:rsidR="0079294E" w:rsidRPr="00281CA3">
        <w:rPr>
          <w:lang w:eastAsia="en-AU"/>
        </w:rPr>
        <w:t>Th</w:t>
      </w:r>
      <w:r w:rsidR="0079294E">
        <w:rPr>
          <w:lang w:eastAsia="en-AU"/>
        </w:rPr>
        <w:t xml:space="preserve">e </w:t>
      </w:r>
      <w:r w:rsidR="0079294E" w:rsidRPr="00B41AE5">
        <w:rPr>
          <w:i/>
          <w:iCs/>
          <w:lang w:eastAsia="en-AU"/>
        </w:rPr>
        <w:t>Targeting Zero</w:t>
      </w:r>
      <w:r w:rsidR="0079294E" w:rsidRPr="00281CA3">
        <w:rPr>
          <w:lang w:eastAsia="en-AU"/>
        </w:rPr>
        <w:t xml:space="preserve"> report</w:t>
      </w:r>
      <w:r w:rsidR="0079294E">
        <w:rPr>
          <w:lang w:eastAsia="en-AU"/>
        </w:rPr>
        <w:t xml:space="preserve"> found </w:t>
      </w:r>
      <w:r w:rsidR="0079294E" w:rsidRPr="00281CA3">
        <w:rPr>
          <w:lang w:eastAsia="en-AU"/>
        </w:rPr>
        <w:t>that ‘the Department has not been fully exercising its leadership of the system to drive improvement or to create economies of scale in centralised data analysis, performance benchmarking and common improvement resources.’</w:t>
      </w:r>
      <w:r w:rsidR="0079294E">
        <w:rPr>
          <w:rStyle w:val="FootnoteReference"/>
          <w:lang w:eastAsia="en-AU"/>
        </w:rPr>
        <w:footnoteReference w:id="97"/>
      </w:r>
      <w:r w:rsidR="0079294E" w:rsidRPr="00281CA3">
        <w:rPr>
          <w:lang w:eastAsia="en-AU"/>
        </w:rPr>
        <w:t xml:space="preserve"> </w:t>
      </w:r>
      <w:r w:rsidR="007A083D">
        <w:rPr>
          <w:lang w:eastAsia="en-AU"/>
        </w:rPr>
        <w:t>As t</w:t>
      </w:r>
      <w:r w:rsidR="0079294E" w:rsidRPr="00281CA3">
        <w:rPr>
          <w:lang w:eastAsia="en-AU"/>
        </w:rPr>
        <w:t xml:space="preserve">he Royal Commission </w:t>
      </w:r>
      <w:r w:rsidR="007A083D">
        <w:rPr>
          <w:lang w:eastAsia="en-AU"/>
        </w:rPr>
        <w:t xml:space="preserve">has recognised in its Interim Report, </w:t>
      </w:r>
      <w:r w:rsidR="0079294E" w:rsidRPr="00281CA3">
        <w:rPr>
          <w:lang w:eastAsia="en-AU"/>
        </w:rPr>
        <w:t xml:space="preserve">there </w:t>
      </w:r>
      <w:r w:rsidR="003E757A">
        <w:rPr>
          <w:lang w:eastAsia="en-AU"/>
        </w:rPr>
        <w:t xml:space="preserve">are shortfalls </w:t>
      </w:r>
      <w:r w:rsidR="007B5103">
        <w:rPr>
          <w:lang w:eastAsia="en-AU"/>
        </w:rPr>
        <w:t>in system-wide planning, governance an</w:t>
      </w:r>
      <w:bookmarkStart w:id="2646" w:name="_GoBack"/>
      <w:bookmarkEnd w:id="2646"/>
      <w:r w:rsidR="007B5103">
        <w:rPr>
          <w:lang w:eastAsia="en-AU"/>
        </w:rPr>
        <w:t>d accountability</w:t>
      </w:r>
      <w:r w:rsidR="0079294E" w:rsidRPr="00281CA3">
        <w:rPr>
          <w:lang w:eastAsia="en-AU"/>
        </w:rPr>
        <w:t>.</w:t>
      </w:r>
      <w:r w:rsidR="004B7EDC">
        <w:rPr>
          <w:rStyle w:val="FootnoteReference"/>
          <w:lang w:eastAsia="en-AU"/>
        </w:rPr>
        <w:footnoteReference w:id="98"/>
      </w:r>
      <w:r w:rsidR="0079294E" w:rsidRPr="00281CA3">
        <w:rPr>
          <w:lang w:eastAsia="en-AU"/>
        </w:rPr>
        <w:t xml:space="preserve"> In our view, improved systems for oversight would lead to better understanding and implementation of the Mental Health Act and its safeguards.</w:t>
      </w:r>
    </w:p>
    <w:p w14:paraId="37F51940" w14:textId="34230BF6" w:rsidR="0079294E" w:rsidRDefault="0079294E" w:rsidP="00B201C4">
      <w:pPr>
        <w:pStyle w:val="Heading3"/>
      </w:pPr>
      <w:r>
        <w:t>System governance and coordination</w:t>
      </w:r>
    </w:p>
    <w:p w14:paraId="01DFC50D" w14:textId="03E4B9D7" w:rsidR="00680F50" w:rsidRDefault="0079294E" w:rsidP="00D87AD3">
      <w:r w:rsidRPr="00554180">
        <w:rPr>
          <w:lang w:eastAsia="en-AU"/>
        </w:rPr>
        <w:t xml:space="preserve">Our practice experience indicates that there is a </w:t>
      </w:r>
      <w:r w:rsidR="00043CA4">
        <w:rPr>
          <w:lang w:eastAsia="en-AU"/>
        </w:rPr>
        <w:t xml:space="preserve">lack of </w:t>
      </w:r>
      <w:r w:rsidR="00CD6DAB">
        <w:rPr>
          <w:lang w:eastAsia="en-AU"/>
        </w:rPr>
        <w:t xml:space="preserve">clarity about responsibility and authority for </w:t>
      </w:r>
      <w:r w:rsidR="00B25683">
        <w:rPr>
          <w:lang w:eastAsia="en-AU"/>
        </w:rPr>
        <w:t xml:space="preserve">mental health </w:t>
      </w:r>
      <w:r w:rsidR="00CD6DAB">
        <w:rPr>
          <w:lang w:eastAsia="en-AU"/>
        </w:rPr>
        <w:t>system governance. Responsibi</w:t>
      </w:r>
      <w:r w:rsidR="00A30F05">
        <w:rPr>
          <w:lang w:eastAsia="en-AU"/>
        </w:rPr>
        <w:t>lity for</w:t>
      </w:r>
      <w:r w:rsidR="00E57F1D">
        <w:rPr>
          <w:lang w:eastAsia="en-AU"/>
        </w:rPr>
        <w:t xml:space="preserve"> </w:t>
      </w:r>
      <w:r w:rsidR="00CD6DAB">
        <w:rPr>
          <w:lang w:eastAsia="en-AU"/>
        </w:rPr>
        <w:t>system planning,</w:t>
      </w:r>
      <w:r w:rsidR="007D57F8">
        <w:rPr>
          <w:lang w:eastAsia="en-AU"/>
        </w:rPr>
        <w:t xml:space="preserve"> service</w:t>
      </w:r>
      <w:r w:rsidR="00CD6DAB">
        <w:rPr>
          <w:lang w:eastAsia="en-AU"/>
        </w:rPr>
        <w:t xml:space="preserve"> </w:t>
      </w:r>
      <w:r w:rsidR="00E57F1D">
        <w:rPr>
          <w:lang w:eastAsia="en-AU"/>
        </w:rPr>
        <w:t>coordination and</w:t>
      </w:r>
      <w:r w:rsidR="00CD6DAB">
        <w:rPr>
          <w:lang w:eastAsia="en-AU"/>
        </w:rPr>
        <w:t xml:space="preserve"> </w:t>
      </w:r>
      <w:r w:rsidR="00A7045A">
        <w:rPr>
          <w:lang w:eastAsia="en-AU"/>
        </w:rPr>
        <w:t xml:space="preserve">standard setting, </w:t>
      </w:r>
      <w:r w:rsidR="00CD6DAB">
        <w:rPr>
          <w:lang w:eastAsia="en-AU"/>
        </w:rPr>
        <w:t xml:space="preserve">monitoring and auditing </w:t>
      </w:r>
      <w:r w:rsidR="0082116F">
        <w:rPr>
          <w:lang w:eastAsia="en-AU"/>
        </w:rPr>
        <w:t>is</w:t>
      </w:r>
      <w:r w:rsidR="00CD6DAB">
        <w:rPr>
          <w:lang w:eastAsia="en-AU"/>
        </w:rPr>
        <w:t xml:space="preserve"> </w:t>
      </w:r>
      <w:r w:rsidR="007D57F8">
        <w:rPr>
          <w:lang w:eastAsia="en-AU"/>
        </w:rPr>
        <w:t>dispersed and poorly coordinated.</w:t>
      </w:r>
      <w:r w:rsidR="00BC77E4">
        <w:rPr>
          <w:lang w:eastAsia="en-AU"/>
        </w:rPr>
        <w:t xml:space="preserve"> </w:t>
      </w:r>
      <w:r w:rsidR="00680F50">
        <w:rPr>
          <w:lang w:eastAsia="en-AU"/>
        </w:rPr>
        <w:t xml:space="preserve">It is not clear who is responsible </w:t>
      </w:r>
      <w:r w:rsidR="00680F50">
        <w:t>for identifying, reporting and resolving system</w:t>
      </w:r>
      <w:r w:rsidR="003B2ED0">
        <w:t>-</w:t>
      </w:r>
      <w:r w:rsidR="00680F50">
        <w:t>wide issues in partnership with consumers and providers</w:t>
      </w:r>
      <w:r w:rsidR="00BC77E4">
        <w:t xml:space="preserve">. </w:t>
      </w:r>
    </w:p>
    <w:p w14:paraId="52755FEC" w14:textId="1D80CD36" w:rsidR="0079294E" w:rsidRDefault="0079294E" w:rsidP="0079294E">
      <w:pPr>
        <w:rPr>
          <w:lang w:eastAsia="en-AU"/>
        </w:rPr>
      </w:pPr>
      <w:r w:rsidRPr="00554180">
        <w:rPr>
          <w:lang w:eastAsia="en-AU"/>
        </w:rPr>
        <w:t xml:space="preserve">The independent evaluation of IMHA </w:t>
      </w:r>
      <w:r w:rsidR="009837AD">
        <w:rPr>
          <w:lang w:eastAsia="en-AU"/>
        </w:rPr>
        <w:t>undertaken</w:t>
      </w:r>
      <w:r w:rsidR="000C0795">
        <w:rPr>
          <w:lang w:eastAsia="en-AU"/>
        </w:rPr>
        <w:t xml:space="preserve"> by RMIT in 2018 </w:t>
      </w:r>
      <w:r w:rsidRPr="00554180">
        <w:rPr>
          <w:lang w:eastAsia="en-AU"/>
        </w:rPr>
        <w:t xml:space="preserve">recommended that oversight bodies be supported and enabled to work together to share information and </w:t>
      </w:r>
      <w:proofErr w:type="gramStart"/>
      <w:r w:rsidRPr="00554180">
        <w:rPr>
          <w:lang w:eastAsia="en-AU"/>
        </w:rPr>
        <w:t>take action</w:t>
      </w:r>
      <w:proofErr w:type="gramEnd"/>
      <w:r w:rsidRPr="00554180">
        <w:rPr>
          <w:lang w:eastAsia="en-AU"/>
        </w:rPr>
        <w:t xml:space="preserve"> on the governance and reduction of compulsory mental health treatment.</w:t>
      </w:r>
      <w:r>
        <w:rPr>
          <w:lang w:eastAsia="en-AU"/>
        </w:rPr>
        <w:t xml:space="preserve"> </w:t>
      </w:r>
      <w:r w:rsidRPr="00554180">
        <w:rPr>
          <w:lang w:eastAsia="en-AU"/>
        </w:rPr>
        <w:t xml:space="preserve">The </w:t>
      </w:r>
      <w:r w:rsidR="003F5BF6">
        <w:rPr>
          <w:lang w:eastAsia="en-AU"/>
        </w:rPr>
        <w:t>development</w:t>
      </w:r>
      <w:r w:rsidRPr="00554180">
        <w:rPr>
          <w:lang w:eastAsia="en-AU"/>
        </w:rPr>
        <w:t xml:space="preserve"> of </w:t>
      </w:r>
      <w:r w:rsidR="003F5BF6">
        <w:rPr>
          <w:lang w:eastAsia="en-AU"/>
        </w:rPr>
        <w:t xml:space="preserve">mechanisms </w:t>
      </w:r>
      <w:r w:rsidR="00AB36FF">
        <w:rPr>
          <w:lang w:eastAsia="en-AU"/>
        </w:rPr>
        <w:t xml:space="preserve">ensuring </w:t>
      </w:r>
      <w:r w:rsidR="003F5BF6">
        <w:rPr>
          <w:lang w:eastAsia="en-AU"/>
        </w:rPr>
        <w:t>coordination</w:t>
      </w:r>
      <w:r w:rsidR="003F5BF6" w:rsidRPr="00554180">
        <w:rPr>
          <w:lang w:eastAsia="en-AU"/>
        </w:rPr>
        <w:t xml:space="preserve"> </w:t>
      </w:r>
      <w:r w:rsidR="003F5BF6">
        <w:rPr>
          <w:lang w:eastAsia="en-AU"/>
        </w:rPr>
        <w:t>of</w:t>
      </w:r>
      <w:r w:rsidRPr="00554180">
        <w:rPr>
          <w:lang w:eastAsia="en-AU"/>
        </w:rPr>
        <w:t xml:space="preserve"> key safeguarding, monitoring and oversight bodies</w:t>
      </w:r>
      <w:r>
        <w:rPr>
          <w:lang w:eastAsia="en-AU"/>
        </w:rPr>
        <w:t xml:space="preserve"> is essential</w:t>
      </w:r>
      <w:r w:rsidRPr="00554180">
        <w:rPr>
          <w:lang w:eastAsia="en-AU"/>
        </w:rPr>
        <w:t xml:space="preserve"> to drive quality improvement. </w:t>
      </w:r>
    </w:p>
    <w:p w14:paraId="415D3B7E" w14:textId="5D311DE1" w:rsidR="00155902" w:rsidRDefault="00155902" w:rsidP="00B119C8">
      <w:pPr>
        <w:keepNext/>
        <w:rPr>
          <w:lang w:eastAsia="en-AU"/>
        </w:rPr>
      </w:pPr>
      <w:r>
        <w:rPr>
          <w:lang w:eastAsia="en-AU"/>
        </w:rPr>
        <w:t xml:space="preserve">An </w:t>
      </w:r>
      <w:r w:rsidR="0001545A">
        <w:rPr>
          <w:lang w:eastAsia="en-AU"/>
        </w:rPr>
        <w:t>improved</w:t>
      </w:r>
      <w:r>
        <w:rPr>
          <w:lang w:eastAsia="en-AU"/>
        </w:rPr>
        <w:t xml:space="preserve"> system </w:t>
      </w:r>
      <w:r w:rsidR="008E6D0A">
        <w:rPr>
          <w:lang w:eastAsia="en-AU"/>
        </w:rPr>
        <w:t>for oversight</w:t>
      </w:r>
      <w:r>
        <w:rPr>
          <w:lang w:eastAsia="en-AU"/>
        </w:rPr>
        <w:t xml:space="preserve"> must be </w:t>
      </w:r>
      <w:r w:rsidR="005455F7">
        <w:rPr>
          <w:lang w:eastAsia="en-AU"/>
        </w:rPr>
        <w:t>authorised</w:t>
      </w:r>
      <w:r>
        <w:rPr>
          <w:lang w:eastAsia="en-AU"/>
        </w:rPr>
        <w:t xml:space="preserve"> </w:t>
      </w:r>
      <w:r w:rsidR="00140AAD">
        <w:rPr>
          <w:lang w:eastAsia="en-AU"/>
        </w:rPr>
        <w:t>and adequately funded</w:t>
      </w:r>
      <w:r>
        <w:rPr>
          <w:lang w:eastAsia="en-AU"/>
        </w:rPr>
        <w:t xml:space="preserve"> to</w:t>
      </w:r>
      <w:r w:rsidR="00140055">
        <w:rPr>
          <w:lang w:eastAsia="en-AU"/>
        </w:rPr>
        <w:t xml:space="preserve"> perform the following system oversight and </w:t>
      </w:r>
      <w:r w:rsidR="00140055" w:rsidRPr="30D0D0C8">
        <w:rPr>
          <w:lang w:eastAsia="en-AU"/>
        </w:rPr>
        <w:t>regulat</w:t>
      </w:r>
      <w:r w:rsidR="790BC885" w:rsidRPr="30D0D0C8">
        <w:rPr>
          <w:lang w:eastAsia="en-AU"/>
        </w:rPr>
        <w:t>ory</w:t>
      </w:r>
      <w:r w:rsidR="00140055">
        <w:rPr>
          <w:lang w:eastAsia="en-AU"/>
        </w:rPr>
        <w:t xml:space="preserve"> functions</w:t>
      </w:r>
      <w:r>
        <w:rPr>
          <w:lang w:eastAsia="en-AU"/>
        </w:rPr>
        <w:t>:</w:t>
      </w:r>
    </w:p>
    <w:p w14:paraId="2E7E1EA6" w14:textId="1FA2CCB0" w:rsidR="00155902" w:rsidRDefault="00411B57" w:rsidP="00904F90">
      <w:pPr>
        <w:pStyle w:val="Listbulletcoloured"/>
      </w:pPr>
      <w:r>
        <w:t>s</w:t>
      </w:r>
      <w:r w:rsidR="00155902">
        <w:t>et benchmarks and targets for the delivery of mental health services that include access, quality standards, compliance with legal obligations, rates of compulsion and consumer satisfaction that are co-</w:t>
      </w:r>
      <w:r w:rsidR="008565F5">
        <w:t xml:space="preserve">produced </w:t>
      </w:r>
      <w:r w:rsidR="00155902">
        <w:t>with people with lived experience of compulsory treatment</w:t>
      </w:r>
      <w:r>
        <w:t>;</w:t>
      </w:r>
    </w:p>
    <w:p w14:paraId="676CB5F5" w14:textId="04ADB7B9" w:rsidR="00C755A3" w:rsidRDefault="00411B57" w:rsidP="00904F90">
      <w:pPr>
        <w:pStyle w:val="Listbulletcoloured"/>
      </w:pPr>
      <w:r>
        <w:t>r</w:t>
      </w:r>
      <w:r w:rsidR="00C755A3">
        <w:t xml:space="preserve">espond to and report on </w:t>
      </w:r>
      <w:r w:rsidR="008F4230">
        <w:t>service-level complaints</w:t>
      </w:r>
      <w:r>
        <w:t>;</w:t>
      </w:r>
    </w:p>
    <w:p w14:paraId="712F5369" w14:textId="6BDCF315" w:rsidR="00FE17CB" w:rsidRDefault="00411B57" w:rsidP="00904F90">
      <w:pPr>
        <w:pStyle w:val="Listbulletcoloured"/>
      </w:pPr>
      <w:r>
        <w:t>p</w:t>
      </w:r>
      <w:r w:rsidR="00FE17CB" w:rsidRPr="00C028B1">
        <w:t>rovide capacity building tools and practice guidance to support least restrictive practice in all services</w:t>
      </w:r>
      <w:r>
        <w:t>;</w:t>
      </w:r>
      <w:r w:rsidR="0036274F">
        <w:rPr>
          <w:rStyle w:val="FootnoteReference"/>
          <w:szCs w:val="22"/>
        </w:rPr>
        <w:footnoteReference w:id="99"/>
      </w:r>
    </w:p>
    <w:p w14:paraId="0ED990C6" w14:textId="77AA81CF" w:rsidR="00155902" w:rsidRDefault="00411B57" w:rsidP="00904F90">
      <w:pPr>
        <w:pStyle w:val="Listbulletcoloured"/>
      </w:pPr>
      <w:r>
        <w:t>m</w:t>
      </w:r>
      <w:r w:rsidR="00155902">
        <w:t xml:space="preserve">ake recommendations for corrective action by mental health services, the Mental Health Tribunal and </w:t>
      </w:r>
      <w:r w:rsidR="00025509">
        <w:t>DHHS</w:t>
      </w:r>
      <w:r w:rsidR="00155902">
        <w:t xml:space="preserve"> where targets are not met</w:t>
      </w:r>
      <w:r>
        <w:t>;</w:t>
      </w:r>
    </w:p>
    <w:p w14:paraId="6A9D47D8" w14:textId="6342D609" w:rsidR="00155902" w:rsidRDefault="00411B57" w:rsidP="00904F90">
      <w:pPr>
        <w:pStyle w:val="Listbulletcoloured"/>
      </w:pPr>
      <w:r>
        <w:t>p</w:t>
      </w:r>
      <w:r w:rsidR="00155902">
        <w:t xml:space="preserve">ublicly report on progress </w:t>
      </w:r>
      <w:r w:rsidR="00935819">
        <w:t xml:space="preserve">(e.g. whether targets are met, action on </w:t>
      </w:r>
      <w:r w:rsidR="00155902">
        <w:t>recommendations</w:t>
      </w:r>
      <w:r w:rsidR="00935819">
        <w:t>, level of implementation of guidance by services)</w:t>
      </w:r>
      <w:r w:rsidR="00540CF6">
        <w:t>; and</w:t>
      </w:r>
    </w:p>
    <w:p w14:paraId="40213FAC" w14:textId="30EA66EE" w:rsidR="00540CF6" w:rsidRDefault="00540CF6" w:rsidP="00904F90">
      <w:pPr>
        <w:pStyle w:val="Listbulletcoloured"/>
      </w:pPr>
      <w:r>
        <w:lastRenderedPageBreak/>
        <w:t>Analyse data reporting from mental health services, the Mental Health Tribunal, the Mental Health Complaints Commission,</w:t>
      </w:r>
      <w:r w:rsidR="006513A4">
        <w:rPr>
          <w:rStyle w:val="FootnoteReference"/>
        </w:rPr>
        <w:footnoteReference w:id="100"/>
      </w:r>
      <w:r>
        <w:t xml:space="preserve"> the Office of the Chief Psychiatrist,</w:t>
      </w:r>
      <w:r w:rsidR="00B57D46">
        <w:rPr>
          <w:rStyle w:val="FootnoteReference"/>
        </w:rPr>
        <w:footnoteReference w:id="101"/>
      </w:r>
      <w:r>
        <w:t xml:space="preserve"> the Office of the Public Advocate and service providers (e.g. VLA, IMHA, MHLC).</w:t>
      </w:r>
    </w:p>
    <w:p w14:paraId="69D0AE6F" w14:textId="4D446185" w:rsidR="0079294E" w:rsidRPr="00680168" w:rsidRDefault="00680168" w:rsidP="002915D4">
      <w:pPr>
        <w:shd w:val="clear" w:color="auto" w:fill="DEEAF6" w:themeFill="accent5" w:themeFillTint="33"/>
        <w:ind w:left="426"/>
      </w:pPr>
      <w:bookmarkStart w:id="2647" w:name="_Toc41411986"/>
      <w:bookmarkStart w:id="2648" w:name="_Toc41332814"/>
      <w:r w:rsidRPr="00B9060C">
        <w:rPr>
          <w:b/>
          <w:bCs/>
        </w:rPr>
        <w:t xml:space="preserve">Recommendation </w:t>
      </w:r>
      <w:r>
        <w:rPr>
          <w:b/>
          <w:bCs/>
        </w:rPr>
        <w:t>28:</w:t>
      </w:r>
      <w:r w:rsidR="00EC0622">
        <w:rPr>
          <w:b/>
          <w:bCs/>
        </w:rPr>
        <w:tab/>
      </w:r>
      <w:r>
        <w:rPr>
          <w:b/>
          <w:bCs/>
        </w:rPr>
        <w:t xml:space="preserve"> </w:t>
      </w:r>
      <w:r w:rsidR="00935819" w:rsidRPr="00680168">
        <w:rPr>
          <w:b/>
          <w:bCs/>
        </w:rPr>
        <w:t xml:space="preserve">Ensure greater oversight and regulation of mental health </w:t>
      </w:r>
      <w:r w:rsidR="374DBBCB" w:rsidRPr="00680168">
        <w:rPr>
          <w:b/>
          <w:bCs/>
        </w:rPr>
        <w:t>system</w:t>
      </w:r>
      <w:bookmarkEnd w:id="2647"/>
      <w:r w:rsidR="0079294E" w:rsidRPr="00680168" w:rsidDel="00935819">
        <w:rPr>
          <w:b/>
          <w:bCs/>
        </w:rPr>
        <w:t xml:space="preserve"> </w:t>
      </w:r>
      <w:bookmarkEnd w:id="2648"/>
    </w:p>
    <w:p w14:paraId="05C0D023" w14:textId="0C01B21E" w:rsidR="0079294E" w:rsidRPr="00680168" w:rsidRDefault="0079294E" w:rsidP="002915D4">
      <w:pPr>
        <w:shd w:val="clear" w:color="auto" w:fill="DEEAF6" w:themeFill="accent5" w:themeFillTint="33"/>
        <w:ind w:left="426"/>
      </w:pPr>
      <w:r w:rsidRPr="00680168">
        <w:t xml:space="preserve">The </w:t>
      </w:r>
      <w:r w:rsidR="004E3DE2" w:rsidRPr="00680168">
        <w:t>Royal Commission</w:t>
      </w:r>
      <w:r w:rsidRPr="00680168">
        <w:t xml:space="preserve"> should </w:t>
      </w:r>
      <w:r w:rsidR="00935819" w:rsidRPr="00680168">
        <w:t>ensure greater oversight and regulation of Victoria’s mental health system, including consideration of appropriate system regulator/s.</w:t>
      </w:r>
      <w:r w:rsidR="00935819" w:rsidRPr="00680168" w:rsidDel="00935819">
        <w:t xml:space="preserve"> </w:t>
      </w:r>
    </w:p>
    <w:p w14:paraId="7E817583" w14:textId="2B8AD03C" w:rsidR="00D70948" w:rsidRDefault="00D70948" w:rsidP="001C5A4F">
      <w:pPr>
        <w:pStyle w:val="Heading3"/>
      </w:pPr>
      <w:bookmarkStart w:id="2649" w:name="_Toc40215743"/>
      <w:bookmarkStart w:id="2650" w:name="_Toc40216441"/>
      <w:bookmarkStart w:id="2651" w:name="_Toc40217058"/>
      <w:bookmarkStart w:id="2652" w:name="_Toc40217680"/>
      <w:bookmarkStart w:id="2653" w:name="_Toc40218301"/>
      <w:bookmarkEnd w:id="2649"/>
      <w:bookmarkEnd w:id="2650"/>
      <w:bookmarkEnd w:id="2651"/>
      <w:bookmarkEnd w:id="2652"/>
      <w:bookmarkEnd w:id="2653"/>
      <w:r>
        <w:t xml:space="preserve">Mental </w:t>
      </w:r>
      <w:r w:rsidR="002D12B4">
        <w:t>h</w:t>
      </w:r>
      <w:r>
        <w:t xml:space="preserve">ealth </w:t>
      </w:r>
      <w:r w:rsidR="002D12B4">
        <w:t>c</w:t>
      </w:r>
      <w:r>
        <w:t xml:space="preserve">omplaints </w:t>
      </w:r>
      <w:bookmarkStart w:id="2654" w:name="_Toc41325279"/>
      <w:bookmarkStart w:id="2655" w:name="_Toc41325395"/>
      <w:bookmarkStart w:id="2656" w:name="_Toc41329862"/>
      <w:bookmarkStart w:id="2657" w:name="_Toc41333769"/>
      <w:bookmarkStart w:id="2658" w:name="_Toc41341070"/>
      <w:bookmarkStart w:id="2659" w:name="_Toc41341196"/>
      <w:bookmarkEnd w:id="2654"/>
      <w:bookmarkEnd w:id="2655"/>
      <w:bookmarkEnd w:id="2656"/>
      <w:bookmarkEnd w:id="2657"/>
      <w:bookmarkEnd w:id="2658"/>
      <w:bookmarkEnd w:id="2659"/>
    </w:p>
    <w:p w14:paraId="47861B39" w14:textId="409D45F2" w:rsidR="00D70948" w:rsidRDefault="00C0402E" w:rsidP="00D70948">
      <w:pPr>
        <w:rPr>
          <w:lang w:eastAsia="en-AU"/>
        </w:rPr>
      </w:pPr>
      <w:r>
        <w:rPr>
          <w:lang w:eastAsia="en-AU"/>
        </w:rPr>
        <w:t xml:space="preserve">If the Royal Commission recommends retaining existing bodies, </w:t>
      </w:r>
      <w:r w:rsidR="009F20A5">
        <w:rPr>
          <w:lang w:eastAsia="en-AU"/>
        </w:rPr>
        <w:t xml:space="preserve">there are significant changes needed to </w:t>
      </w:r>
      <w:r w:rsidR="004C51FF">
        <w:rPr>
          <w:lang w:eastAsia="en-AU"/>
        </w:rPr>
        <w:t xml:space="preserve">improve complaint handling mechanisms. </w:t>
      </w:r>
      <w:r w:rsidR="00686AEC" w:rsidRPr="00554180">
        <w:rPr>
          <w:lang w:eastAsia="en-AU"/>
        </w:rPr>
        <w:t>IMHA advocates have experience</w:t>
      </w:r>
      <w:r w:rsidR="00686AEC">
        <w:rPr>
          <w:lang w:eastAsia="en-AU"/>
        </w:rPr>
        <w:t xml:space="preserve"> </w:t>
      </w:r>
      <w:r w:rsidR="00686AEC" w:rsidRPr="00554180">
        <w:rPr>
          <w:lang w:eastAsia="en-AU"/>
        </w:rPr>
        <w:t>facilitating complaints to the M</w:t>
      </w:r>
      <w:r w:rsidR="00686AEC">
        <w:rPr>
          <w:lang w:eastAsia="en-AU"/>
        </w:rPr>
        <w:t xml:space="preserve">ental </w:t>
      </w:r>
      <w:r w:rsidR="00686AEC" w:rsidRPr="00554180">
        <w:rPr>
          <w:lang w:eastAsia="en-AU"/>
        </w:rPr>
        <w:t>H</w:t>
      </w:r>
      <w:r w:rsidR="00686AEC">
        <w:rPr>
          <w:lang w:eastAsia="en-AU"/>
        </w:rPr>
        <w:t xml:space="preserve">ealth </w:t>
      </w:r>
      <w:r w:rsidR="00686AEC" w:rsidRPr="00554180">
        <w:rPr>
          <w:lang w:eastAsia="en-AU"/>
        </w:rPr>
        <w:t>C</w:t>
      </w:r>
      <w:r w:rsidR="00686AEC">
        <w:rPr>
          <w:lang w:eastAsia="en-AU"/>
        </w:rPr>
        <w:t xml:space="preserve">omplaints </w:t>
      </w:r>
      <w:r w:rsidR="00686AEC" w:rsidRPr="00554180">
        <w:rPr>
          <w:lang w:eastAsia="en-AU"/>
        </w:rPr>
        <w:t>C</w:t>
      </w:r>
      <w:r w:rsidR="00686AEC">
        <w:rPr>
          <w:lang w:eastAsia="en-AU"/>
        </w:rPr>
        <w:t>ommission</w:t>
      </w:r>
      <w:r w:rsidR="00686AEC" w:rsidRPr="00554180">
        <w:rPr>
          <w:lang w:eastAsia="en-AU"/>
        </w:rPr>
        <w:t xml:space="preserve"> that result in positive outcomes for consumers and for the broader mental health </w:t>
      </w:r>
      <w:bookmarkStart w:id="2660" w:name="_Hlk43988256"/>
      <w:r w:rsidR="00686AEC" w:rsidRPr="00554180">
        <w:rPr>
          <w:lang w:eastAsia="en-AU"/>
        </w:rPr>
        <w:t>system.</w:t>
      </w:r>
      <w:r w:rsidR="00D80102">
        <w:rPr>
          <w:rStyle w:val="FootnoteReference"/>
          <w:lang w:eastAsia="en-AU"/>
        </w:rPr>
        <w:footnoteReference w:id="102"/>
      </w:r>
      <w:r w:rsidR="00686AEC">
        <w:rPr>
          <w:lang w:eastAsia="en-AU"/>
        </w:rPr>
        <w:t xml:space="preserve"> However</w:t>
      </w:r>
      <w:bookmarkEnd w:id="2660"/>
      <w:r w:rsidR="00686AEC">
        <w:rPr>
          <w:lang w:eastAsia="en-AU"/>
        </w:rPr>
        <w:t>, t</w:t>
      </w:r>
      <w:r w:rsidR="00CD5184">
        <w:rPr>
          <w:lang w:eastAsia="en-AU"/>
        </w:rPr>
        <w:t xml:space="preserve">he current </w:t>
      </w:r>
      <w:r w:rsidR="00221C9E">
        <w:rPr>
          <w:lang w:eastAsia="en-AU"/>
        </w:rPr>
        <w:t xml:space="preserve">complaints process </w:t>
      </w:r>
      <w:r w:rsidR="00221C9E" w:rsidRPr="00554180">
        <w:rPr>
          <w:lang w:eastAsia="en-AU"/>
        </w:rPr>
        <w:t xml:space="preserve">can often be slow and frustrating for consumers and pathways to pursue legal rights from substantiated complaints are unclear and difficult to access. </w:t>
      </w:r>
      <w:bookmarkStart w:id="2661" w:name="_Toc41325280"/>
      <w:bookmarkStart w:id="2662" w:name="_Toc41325396"/>
      <w:bookmarkStart w:id="2663" w:name="_Toc41329863"/>
      <w:bookmarkStart w:id="2664" w:name="_Toc41333770"/>
      <w:bookmarkStart w:id="2665" w:name="_Toc41341071"/>
      <w:bookmarkStart w:id="2666" w:name="_Toc41341197"/>
      <w:bookmarkEnd w:id="2661"/>
      <w:bookmarkEnd w:id="2662"/>
      <w:bookmarkEnd w:id="2663"/>
      <w:bookmarkEnd w:id="2664"/>
      <w:bookmarkEnd w:id="2665"/>
      <w:bookmarkEnd w:id="2666"/>
    </w:p>
    <w:p w14:paraId="7ECF44A0" w14:textId="386AEF08" w:rsidR="00D70948" w:rsidRPr="00680168" w:rsidRDefault="00680168" w:rsidP="002915D4">
      <w:pPr>
        <w:shd w:val="clear" w:color="auto" w:fill="DEEAF6" w:themeFill="accent5" w:themeFillTint="33"/>
        <w:ind w:left="426"/>
      </w:pPr>
      <w:bookmarkStart w:id="2667" w:name="_Toc41332815"/>
      <w:bookmarkStart w:id="2668" w:name="_Toc41333001"/>
      <w:bookmarkStart w:id="2669" w:name="_Toc41411987"/>
      <w:r w:rsidRPr="00B9060C">
        <w:rPr>
          <w:b/>
          <w:bCs/>
        </w:rPr>
        <w:t xml:space="preserve">Recommendation </w:t>
      </w:r>
      <w:r>
        <w:rPr>
          <w:b/>
          <w:bCs/>
        </w:rPr>
        <w:t xml:space="preserve">29: </w:t>
      </w:r>
      <w:r w:rsidR="00F36CC7" w:rsidRPr="00680168">
        <w:rPr>
          <w:b/>
          <w:bCs/>
        </w:rPr>
        <w:t>Improv</w:t>
      </w:r>
      <w:r w:rsidR="004C51FF" w:rsidRPr="00680168">
        <w:rPr>
          <w:b/>
          <w:bCs/>
        </w:rPr>
        <w:t>ing</w:t>
      </w:r>
      <w:r w:rsidR="00F36CC7" w:rsidRPr="00680168">
        <w:rPr>
          <w:b/>
          <w:bCs/>
        </w:rPr>
        <w:t xml:space="preserve"> complaint</w:t>
      </w:r>
      <w:r w:rsidR="00430CEF" w:rsidRPr="00680168">
        <w:rPr>
          <w:b/>
          <w:bCs/>
        </w:rPr>
        <w:t xml:space="preserve"> </w:t>
      </w:r>
      <w:r w:rsidR="004C51FF" w:rsidRPr="00680168">
        <w:rPr>
          <w:b/>
          <w:bCs/>
        </w:rPr>
        <w:t xml:space="preserve">handling </w:t>
      </w:r>
      <w:r w:rsidR="00430CEF" w:rsidRPr="00680168">
        <w:rPr>
          <w:b/>
          <w:bCs/>
        </w:rPr>
        <w:t>mechanisms</w:t>
      </w:r>
      <w:bookmarkStart w:id="2670" w:name="_Toc41325281"/>
      <w:bookmarkStart w:id="2671" w:name="_Toc41325397"/>
      <w:bookmarkStart w:id="2672" w:name="_Toc41329864"/>
      <w:bookmarkStart w:id="2673" w:name="_Toc41333771"/>
      <w:bookmarkStart w:id="2674" w:name="_Toc41341072"/>
      <w:bookmarkStart w:id="2675" w:name="_Toc41341198"/>
      <w:bookmarkEnd w:id="2667"/>
      <w:bookmarkEnd w:id="2668"/>
      <w:bookmarkEnd w:id="2669"/>
      <w:bookmarkEnd w:id="2670"/>
      <w:bookmarkEnd w:id="2671"/>
      <w:bookmarkEnd w:id="2672"/>
      <w:bookmarkEnd w:id="2673"/>
      <w:bookmarkEnd w:id="2674"/>
      <w:bookmarkEnd w:id="2675"/>
    </w:p>
    <w:p w14:paraId="7088B60B" w14:textId="5A3CBE9B" w:rsidR="00D70948" w:rsidRPr="001028B6" w:rsidRDefault="00D70948" w:rsidP="002915D4">
      <w:pPr>
        <w:shd w:val="clear" w:color="auto" w:fill="DEEAF6" w:themeFill="accent5" w:themeFillTint="33"/>
        <w:ind w:left="426"/>
      </w:pPr>
      <w:r w:rsidRPr="001028B6">
        <w:t>The</w:t>
      </w:r>
      <w:r w:rsidR="006C26E7" w:rsidRPr="00554841">
        <w:t xml:space="preserve"> Victorian Government</w:t>
      </w:r>
      <w:r w:rsidRPr="00554841">
        <w:t xml:space="preserve"> should improve the </w:t>
      </w:r>
      <w:r w:rsidR="00C27FDE" w:rsidRPr="000B340E">
        <w:t>handling of complaints relating to mental health services by</w:t>
      </w:r>
      <w:bookmarkStart w:id="2676" w:name="_Toc41325282"/>
      <w:bookmarkStart w:id="2677" w:name="_Toc41325398"/>
      <w:bookmarkStart w:id="2678" w:name="_Toc41329865"/>
      <w:bookmarkStart w:id="2679" w:name="_Toc41333772"/>
      <w:bookmarkStart w:id="2680" w:name="_Toc41341073"/>
      <w:bookmarkStart w:id="2681" w:name="_Toc41341199"/>
      <w:bookmarkStart w:id="2682" w:name="_Hlk43988280"/>
      <w:bookmarkEnd w:id="2676"/>
      <w:bookmarkEnd w:id="2677"/>
      <w:bookmarkEnd w:id="2678"/>
      <w:bookmarkEnd w:id="2679"/>
      <w:bookmarkEnd w:id="2680"/>
      <w:bookmarkEnd w:id="2681"/>
      <w:r w:rsidR="00D80102">
        <w:rPr>
          <w:rStyle w:val="FootnoteReference"/>
        </w:rPr>
        <w:footnoteReference w:id="103"/>
      </w:r>
      <w:bookmarkEnd w:id="2682"/>
    </w:p>
    <w:p w14:paraId="6D668D16" w14:textId="2553A592" w:rsidR="00680168" w:rsidRPr="00680168" w:rsidRDefault="00D72019" w:rsidP="00984FB7">
      <w:pPr>
        <w:pStyle w:val="ListParagraph"/>
        <w:numPr>
          <w:ilvl w:val="0"/>
          <w:numId w:val="17"/>
        </w:numPr>
        <w:shd w:val="clear" w:color="auto" w:fill="DEEAF6" w:themeFill="accent5" w:themeFillTint="33"/>
        <w:ind w:left="851" w:hanging="425"/>
      </w:pPr>
      <w:r w:rsidRPr="00680168">
        <w:t>i</w:t>
      </w:r>
      <w:r w:rsidR="00D70948" w:rsidRPr="00680168">
        <w:t>ncreasing resources to improve complaint resolution;</w:t>
      </w:r>
      <w:bookmarkStart w:id="2683" w:name="_Toc41325283"/>
      <w:bookmarkStart w:id="2684" w:name="_Toc41325399"/>
      <w:bookmarkStart w:id="2685" w:name="_Toc41329866"/>
      <w:bookmarkStart w:id="2686" w:name="_Toc41333773"/>
      <w:bookmarkStart w:id="2687" w:name="_Toc41341074"/>
      <w:bookmarkStart w:id="2688" w:name="_Toc41341200"/>
      <w:bookmarkEnd w:id="2683"/>
      <w:bookmarkEnd w:id="2684"/>
      <w:bookmarkEnd w:id="2685"/>
      <w:bookmarkEnd w:id="2686"/>
      <w:bookmarkEnd w:id="2687"/>
      <w:bookmarkEnd w:id="2688"/>
    </w:p>
    <w:p w14:paraId="6D5AE8B5" w14:textId="15038837" w:rsidR="00680168" w:rsidRPr="00680168" w:rsidRDefault="00B25683" w:rsidP="00984FB7">
      <w:pPr>
        <w:pStyle w:val="ListParagraph"/>
        <w:numPr>
          <w:ilvl w:val="0"/>
          <w:numId w:val="17"/>
        </w:numPr>
        <w:shd w:val="clear" w:color="auto" w:fill="DEEAF6" w:themeFill="accent5" w:themeFillTint="33"/>
        <w:ind w:left="851" w:hanging="425"/>
      </w:pPr>
      <w:r w:rsidRPr="00680168">
        <w:t>clarifying and developing</w:t>
      </w:r>
      <w:r w:rsidR="00D70948" w:rsidRPr="00680168">
        <w:t xml:space="preserve"> pathways for consumers to pursue claims for compensation or other redress following substantiated complaints; </w:t>
      </w:r>
      <w:r w:rsidR="006C26E7" w:rsidRPr="00680168">
        <w:t>and</w:t>
      </w:r>
      <w:bookmarkStart w:id="2689" w:name="_Toc41325284"/>
      <w:bookmarkStart w:id="2690" w:name="_Toc41325400"/>
      <w:bookmarkStart w:id="2691" w:name="_Toc41329867"/>
      <w:bookmarkStart w:id="2692" w:name="_Toc41333774"/>
      <w:bookmarkStart w:id="2693" w:name="_Toc41341075"/>
      <w:bookmarkStart w:id="2694" w:name="_Toc41341201"/>
      <w:bookmarkEnd w:id="2689"/>
      <w:bookmarkEnd w:id="2690"/>
      <w:bookmarkEnd w:id="2691"/>
      <w:bookmarkEnd w:id="2692"/>
      <w:bookmarkEnd w:id="2693"/>
      <w:bookmarkEnd w:id="2694"/>
    </w:p>
    <w:p w14:paraId="6502D7B3" w14:textId="56705B28" w:rsidR="0090730E" w:rsidRPr="00680168" w:rsidRDefault="0090730E" w:rsidP="00984FB7">
      <w:pPr>
        <w:pStyle w:val="ListParagraph"/>
        <w:numPr>
          <w:ilvl w:val="0"/>
          <w:numId w:val="17"/>
        </w:numPr>
        <w:shd w:val="clear" w:color="auto" w:fill="DEEAF6" w:themeFill="accent5" w:themeFillTint="33"/>
        <w:ind w:left="851" w:hanging="425"/>
      </w:pPr>
      <w:r w:rsidRPr="00680168">
        <w:t>requiring public reporting of service level complaints</w:t>
      </w:r>
      <w:r w:rsidR="0030118D" w:rsidRPr="00680168">
        <w:t xml:space="preserve"> data, systemic learnings and quality improvements.</w:t>
      </w:r>
    </w:p>
    <w:p w14:paraId="758A1294" w14:textId="5402D57F" w:rsidR="00FE08E7" w:rsidRDefault="00FE08E7" w:rsidP="001950ED">
      <w:pPr>
        <w:pStyle w:val="Heading1"/>
        <w:spacing w:before="480"/>
      </w:pPr>
      <w:bookmarkStart w:id="2695" w:name="_Toc41325402"/>
      <w:bookmarkStart w:id="2696" w:name="_Toc41332816"/>
      <w:bookmarkStart w:id="2697" w:name="_Toc41411989"/>
      <w:bookmarkStart w:id="2698" w:name="_Toc41651963"/>
      <w:r>
        <w:t>Human rights and discrimination law</w:t>
      </w:r>
      <w:bookmarkEnd w:id="2695"/>
      <w:bookmarkEnd w:id="2696"/>
      <w:bookmarkEnd w:id="2697"/>
      <w:bookmarkEnd w:id="2698"/>
    </w:p>
    <w:p w14:paraId="4CF7BD10" w14:textId="2B988C1F" w:rsidR="00FE08E7" w:rsidRPr="009D4822" w:rsidRDefault="007B64F8" w:rsidP="00FE08E7">
      <w:r>
        <w:t>In our practice experience, people experiencing mental health issues</w:t>
      </w:r>
      <w:r w:rsidR="00FE08E7">
        <w:t xml:space="preserve"> are more likely to interact with public authorities (such as police, public housing providers or public mental health services) or be subject to decisions that have an impact on their rights (such as involuntary mental health treatment). We briefly outline necessary consumer-focused and rights-focused reforms to ensure human rights protections provide effective safeguards, and necessary legislative reforms and policy responses to prevent discrimination and sexual harassment as drivers of adverse mental health outcomes.</w:t>
      </w:r>
    </w:p>
    <w:p w14:paraId="746E3D17" w14:textId="16444440" w:rsidR="004303E2" w:rsidRDefault="007B64F8" w:rsidP="004303E2">
      <w:pPr>
        <w:pStyle w:val="Heading2"/>
      </w:pPr>
      <w:bookmarkStart w:id="2699" w:name="_Toc41651964"/>
      <w:r>
        <w:t>Framework to eliminate use of</w:t>
      </w:r>
      <w:r w:rsidR="004303E2">
        <w:t xml:space="preserve"> restrictive practices</w:t>
      </w:r>
      <w:bookmarkEnd w:id="2699"/>
    </w:p>
    <w:p w14:paraId="55D09971" w14:textId="77777777" w:rsidR="004058E4" w:rsidRDefault="004303E2" w:rsidP="004303E2">
      <w:pPr>
        <w:rPr>
          <w:lang w:eastAsia="en-AU"/>
        </w:rPr>
      </w:pPr>
      <w:r w:rsidRPr="003D122D">
        <w:rPr>
          <w:lang w:eastAsia="en-AU"/>
        </w:rPr>
        <w:t>Restrictive practices are harmful and traumatising to many consumers, represent a loss of their dignity and autonomy, and damage therapeutic relationships, which can result in a reduced likelihood of seeking help in the future. This</w:t>
      </w:r>
      <w:r>
        <w:rPr>
          <w:lang w:eastAsia="en-AU"/>
        </w:rPr>
        <w:t xml:space="preserve"> avoidance</w:t>
      </w:r>
      <w:r w:rsidRPr="003D122D">
        <w:rPr>
          <w:lang w:eastAsia="en-AU"/>
        </w:rPr>
        <w:t xml:space="preserve"> can result in more assertive or coercive practices by community mental health services, which may </w:t>
      </w:r>
      <w:proofErr w:type="gramStart"/>
      <w:r w:rsidRPr="003D122D">
        <w:rPr>
          <w:lang w:eastAsia="en-AU"/>
        </w:rPr>
        <w:t>give inadequate consideration to</w:t>
      </w:r>
      <w:proofErr w:type="gramEnd"/>
      <w:r w:rsidRPr="003D122D">
        <w:rPr>
          <w:lang w:eastAsia="en-AU"/>
        </w:rPr>
        <w:t xml:space="preserve"> how previous </w:t>
      </w:r>
      <w:r w:rsidRPr="003D122D">
        <w:rPr>
          <w:lang w:eastAsia="en-AU"/>
        </w:rPr>
        <w:lastRenderedPageBreak/>
        <w:t>restrictive practices can impact on consumers’ help seeking behaviour and engagement with services.</w:t>
      </w:r>
    </w:p>
    <w:p w14:paraId="1CB5D889" w14:textId="0079CE9D" w:rsidR="004303E2" w:rsidRPr="003D122D" w:rsidRDefault="004303E2" w:rsidP="004303E2">
      <w:pPr>
        <w:rPr>
          <w:lang w:eastAsia="en-AU"/>
        </w:rPr>
      </w:pPr>
      <w:r>
        <w:rPr>
          <w:lang w:eastAsia="en-AU"/>
        </w:rPr>
        <w:t>C</w:t>
      </w:r>
      <w:r w:rsidRPr="003D122D">
        <w:rPr>
          <w:lang w:eastAsia="en-AU"/>
        </w:rPr>
        <w:t xml:space="preserve">onsumers </w:t>
      </w:r>
      <w:r>
        <w:rPr>
          <w:lang w:eastAsia="en-AU"/>
        </w:rPr>
        <w:t>with trauma histories can be</w:t>
      </w:r>
      <w:r w:rsidRPr="003D122D">
        <w:rPr>
          <w:lang w:eastAsia="en-AU"/>
        </w:rPr>
        <w:t xml:space="preserve"> re-traumatise</w:t>
      </w:r>
      <w:r>
        <w:rPr>
          <w:lang w:eastAsia="en-AU"/>
        </w:rPr>
        <w:t>d by restrictive practices, particularly interventions which trigger</w:t>
      </w:r>
      <w:r w:rsidRPr="003D122D">
        <w:rPr>
          <w:lang w:eastAsia="en-AU"/>
        </w:rPr>
        <w:t xml:space="preserve"> underlying issues of loss of control and self-determination.</w:t>
      </w:r>
      <w:r w:rsidR="005E6163">
        <w:rPr>
          <w:lang w:eastAsia="en-AU"/>
        </w:rPr>
        <w:t xml:space="preserve"> </w:t>
      </w:r>
      <w:r w:rsidR="00780B0E">
        <w:rPr>
          <w:lang w:eastAsia="en-AU"/>
        </w:rPr>
        <w:t>There must be effective human rights safeguards in place to ensure</w:t>
      </w:r>
      <w:r w:rsidR="005E6163">
        <w:rPr>
          <w:lang w:eastAsia="en-AU"/>
        </w:rPr>
        <w:t xml:space="preserve"> restrictive practices </w:t>
      </w:r>
      <w:r w:rsidR="00780B0E">
        <w:rPr>
          <w:lang w:eastAsia="en-AU"/>
        </w:rPr>
        <w:t xml:space="preserve">do not unjustifiably breach a person’s rights to freedom of movement, liberty and security of person, health, and freedom from cruel, inhuman and degrading treatment. </w:t>
      </w:r>
      <w:r>
        <w:rPr>
          <w:lang w:eastAsia="en-AU"/>
        </w:rPr>
        <w:t xml:space="preserve">The Victorian </w:t>
      </w:r>
      <w:r w:rsidR="52A39FDF">
        <w:rPr>
          <w:lang w:eastAsia="en-AU"/>
        </w:rPr>
        <w:t>Government</w:t>
      </w:r>
      <w:r w:rsidR="76655CA1">
        <w:rPr>
          <w:lang w:eastAsia="en-AU"/>
        </w:rPr>
        <w:t>’s</w:t>
      </w:r>
      <w:r>
        <w:rPr>
          <w:lang w:eastAsia="en-AU"/>
        </w:rPr>
        <w:t xml:space="preserve"> commitment to ‘reduce and wherever possible eliminate the use of bodily restraint and seclusion by designated mental health services’</w:t>
      </w:r>
      <w:r>
        <w:rPr>
          <w:rStyle w:val="FootnoteReference"/>
          <w:lang w:eastAsia="en-AU"/>
        </w:rPr>
        <w:footnoteReference w:id="104"/>
      </w:r>
      <w:r>
        <w:rPr>
          <w:lang w:eastAsia="en-AU"/>
        </w:rPr>
        <w:t xml:space="preserve"> must be implemented through an effective framework. </w:t>
      </w:r>
    </w:p>
    <w:p w14:paraId="0740CD2D" w14:textId="438D65F8" w:rsidR="004303E2" w:rsidRPr="00A17FA6" w:rsidRDefault="00A17FA6" w:rsidP="002915D4">
      <w:pPr>
        <w:shd w:val="clear" w:color="auto" w:fill="DEEAF6" w:themeFill="accent5" w:themeFillTint="33"/>
        <w:ind w:left="426"/>
      </w:pPr>
      <w:bookmarkStart w:id="2700" w:name="_Toc40355768"/>
      <w:bookmarkStart w:id="2701" w:name="_Toc41325403"/>
      <w:bookmarkStart w:id="2702" w:name="_Toc41332817"/>
      <w:bookmarkStart w:id="2703" w:name="_Toc41411990"/>
      <w:r w:rsidRPr="00A17FA6">
        <w:rPr>
          <w:b/>
          <w:bCs/>
        </w:rPr>
        <w:t>Recommendation 30:</w:t>
      </w:r>
      <w:r w:rsidR="00EC0622">
        <w:rPr>
          <w:b/>
          <w:bCs/>
        </w:rPr>
        <w:t xml:space="preserve"> </w:t>
      </w:r>
      <w:r w:rsidR="007B64F8" w:rsidRPr="00A17FA6">
        <w:rPr>
          <w:b/>
          <w:bCs/>
        </w:rPr>
        <w:t>Implement a f</w:t>
      </w:r>
      <w:r w:rsidR="004303E2" w:rsidRPr="00A17FA6">
        <w:rPr>
          <w:b/>
          <w:bCs/>
        </w:rPr>
        <w:t>ramework to eliminate use of restrictive interventions</w:t>
      </w:r>
      <w:bookmarkEnd w:id="2700"/>
      <w:bookmarkEnd w:id="2701"/>
      <w:bookmarkEnd w:id="2702"/>
      <w:bookmarkEnd w:id="2703"/>
    </w:p>
    <w:p w14:paraId="00709E5A" w14:textId="598B0FE7" w:rsidR="004303E2" w:rsidRPr="002915D4" w:rsidRDefault="004303E2" w:rsidP="002915D4">
      <w:pPr>
        <w:shd w:val="clear" w:color="auto" w:fill="DEEAF6" w:themeFill="accent5" w:themeFillTint="33"/>
        <w:ind w:left="426"/>
      </w:pPr>
      <w:r w:rsidRPr="00A17FA6">
        <w:t xml:space="preserve">The Department of Health and Human Services should publish a commitment to the reduction and elimination of restrictive practices and develop and implement co-produced strategies to achieve this. </w:t>
      </w:r>
    </w:p>
    <w:p w14:paraId="571CEE0C" w14:textId="77BAED63" w:rsidR="00FE08E7" w:rsidRDefault="00FE08E7" w:rsidP="00FE08E7">
      <w:pPr>
        <w:pStyle w:val="Heading2"/>
      </w:pPr>
      <w:bookmarkStart w:id="2704" w:name="_Toc41651965"/>
      <w:r>
        <w:t>Stronger human rights protections</w:t>
      </w:r>
      <w:bookmarkEnd w:id="2704"/>
    </w:p>
    <w:p w14:paraId="0BE51708" w14:textId="70CC5A5F" w:rsidR="00FE08E7" w:rsidRDefault="00FE08E7" w:rsidP="00FE08E7">
      <w:r>
        <w:t xml:space="preserve">Human rights frameworks, such as the </w:t>
      </w:r>
      <w:r w:rsidRPr="004347CF">
        <w:rPr>
          <w:i/>
          <w:iCs/>
        </w:rPr>
        <w:t>Charter of Human Rights and Responsibilities 2006</w:t>
      </w:r>
      <w:r>
        <w:t xml:space="preserve"> (Vic) (</w:t>
      </w:r>
      <w:r w:rsidRPr="004347CF">
        <w:rPr>
          <w:b/>
          <w:bCs/>
        </w:rPr>
        <w:t>Victorian Charter</w:t>
      </w:r>
      <w:r>
        <w:t xml:space="preserve">), </w:t>
      </w:r>
      <w:r w:rsidDel="00FE08E7">
        <w:t>Convention Against Torture and other Cruel, Inhuman and Degrading Treatment or Punishment (</w:t>
      </w:r>
      <w:r w:rsidDel="00FE08E7">
        <w:rPr>
          <w:b/>
          <w:bCs/>
        </w:rPr>
        <w:t>CAT</w:t>
      </w:r>
      <w:r w:rsidDel="00FE08E7">
        <w:t>), the accompanying Optional Protocol (</w:t>
      </w:r>
      <w:r w:rsidDel="00FE08E7">
        <w:rPr>
          <w:b/>
          <w:bCs/>
        </w:rPr>
        <w:t>OPCAT</w:t>
      </w:r>
      <w:r w:rsidDel="00FE08E7">
        <w:t xml:space="preserve">) </w:t>
      </w:r>
      <w:r>
        <w:t xml:space="preserve">and the </w:t>
      </w:r>
      <w:r w:rsidR="00CD3398">
        <w:t>CRPD</w:t>
      </w:r>
      <w:r>
        <w:t xml:space="preserve"> provide </w:t>
      </w:r>
      <w:r w:rsidRPr="009F7D3E">
        <w:t xml:space="preserve">important protections for </w:t>
      </w:r>
      <w:r>
        <w:t xml:space="preserve">consumers to enforce or assert their rights, and for appropriate oversight of human rights abuses. </w:t>
      </w:r>
    </w:p>
    <w:p w14:paraId="3D9E83CB" w14:textId="299077E5" w:rsidR="007B64F8" w:rsidRDefault="00FE08E7" w:rsidP="007B64F8">
      <w:r w:rsidRPr="004347CF">
        <w:t xml:space="preserve">The Victorian Charter </w:t>
      </w:r>
      <w:r>
        <w:t xml:space="preserve">is </w:t>
      </w:r>
      <w:r w:rsidRPr="004347CF">
        <w:t>an important tool to promote and enforce human rights.</w:t>
      </w:r>
      <w:r>
        <w:t xml:space="preserve"> Charter rights of consumers</w:t>
      </w:r>
      <w:r>
        <w:rPr>
          <w:rStyle w:val="FootnoteReference"/>
        </w:rPr>
        <w:footnoteReference w:id="105"/>
      </w:r>
      <w:r>
        <w:t xml:space="preserve"> can only be limited under law and subject to specific considerations,</w:t>
      </w:r>
      <w:r>
        <w:rPr>
          <w:rStyle w:val="FootnoteReference"/>
        </w:rPr>
        <w:footnoteReference w:id="106"/>
      </w:r>
      <w:r>
        <w:t xml:space="preserve"> such as those currently prescribed for compulsory treatment decisions under the Mental Health Act.</w:t>
      </w:r>
      <w:r>
        <w:rPr>
          <w:rStyle w:val="FootnoteReference"/>
        </w:rPr>
        <w:footnoteReference w:id="107"/>
      </w:r>
      <w:r>
        <w:t xml:space="preserve"> The </w:t>
      </w:r>
      <w:r w:rsidR="007B64F8">
        <w:t xml:space="preserve">2015 </w:t>
      </w:r>
      <w:r>
        <w:t xml:space="preserve">Human Rights Charter Review </w:t>
      </w:r>
      <w:r w:rsidR="007B64F8">
        <w:t xml:space="preserve">recommended a series of reforms, including reviewing decisions of public authorities (including mental health services) incompatible with human rights, improving access to remedies, and ensuring </w:t>
      </w:r>
      <w:r>
        <w:t xml:space="preserve">oversight bodies </w:t>
      </w:r>
      <w:r w:rsidR="007B64F8">
        <w:t>can</w:t>
      </w:r>
      <w:r>
        <w:t xml:space="preserve"> deal with </w:t>
      </w:r>
      <w:r w:rsidR="180B867A">
        <w:t>Victorian</w:t>
      </w:r>
      <w:r>
        <w:t xml:space="preserve"> Charter issues when they arise, including the Mental Health Complaints Commission (i.e. without needing to make a separate complaint to the Victorian Ombudsman).</w:t>
      </w:r>
      <w:r>
        <w:rPr>
          <w:rStyle w:val="FootnoteReference"/>
        </w:rPr>
        <w:footnoteReference w:id="108"/>
      </w:r>
      <w:r w:rsidR="007B64F8">
        <w:t xml:space="preserve"> The </w:t>
      </w:r>
      <w:r w:rsidR="2DF29BA2">
        <w:t>Victorian</w:t>
      </w:r>
      <w:r w:rsidR="007B64F8">
        <w:t xml:space="preserve"> Charter could be strengthened to broaden the scope of protected rights, improve the practices of mental health services through cultural change and policy development, and provide avenues for redress when a person’s human rights are breached.</w:t>
      </w:r>
    </w:p>
    <w:p w14:paraId="654DCD91" w14:textId="75F61A1B" w:rsidR="007B64F8" w:rsidRPr="00BC2647" w:rsidRDefault="007B64F8" w:rsidP="007B64F8">
      <w:r>
        <w:rPr>
          <w:lang w:eastAsia="en-AU"/>
        </w:rPr>
        <w:t>The Mental Health Act provides that Aboriginal and Torres Strait Islander people ‘should have their distinct culture and identity recognised and responded to’ in receiving mental health services,</w:t>
      </w:r>
      <w:r>
        <w:rPr>
          <w:rStyle w:val="FootnoteReference"/>
          <w:lang w:eastAsia="en-AU"/>
        </w:rPr>
        <w:footnoteReference w:id="109"/>
      </w:r>
      <w:r>
        <w:rPr>
          <w:lang w:eastAsia="en-AU"/>
        </w:rPr>
        <w:t xml:space="preserve"> but this does not always occur in practice.</w:t>
      </w:r>
      <w:r>
        <w:rPr>
          <w:rStyle w:val="FootnoteReference"/>
          <w:lang w:eastAsia="en-AU"/>
        </w:rPr>
        <w:footnoteReference w:id="110"/>
      </w:r>
      <w:r>
        <w:rPr>
          <w:lang w:eastAsia="en-AU"/>
        </w:rPr>
        <w:t xml:space="preserve"> </w:t>
      </w:r>
      <w:r w:rsidRPr="00BC2647">
        <w:rPr>
          <w:lang w:eastAsia="en-AU"/>
        </w:rPr>
        <w:t xml:space="preserve">The Victorian Charter does not currently protect the right to </w:t>
      </w:r>
      <w:r w:rsidRPr="00BC2647">
        <w:rPr>
          <w:lang w:eastAsia="en-AU"/>
        </w:rPr>
        <w:lastRenderedPageBreak/>
        <w:t>self-determination for Aboriginal and Torres Strait Islander peoples</w:t>
      </w:r>
      <w:r w:rsidR="00777DD4">
        <w:rPr>
          <w:lang w:eastAsia="en-AU"/>
        </w:rPr>
        <w:t>,</w:t>
      </w:r>
      <w:r>
        <w:rPr>
          <w:rStyle w:val="FootnoteReference"/>
          <w:lang w:eastAsia="en-AU"/>
        </w:rPr>
        <w:footnoteReference w:id="111"/>
      </w:r>
      <w:r w:rsidR="00777DD4">
        <w:rPr>
          <w:lang w:eastAsia="en-AU"/>
        </w:rPr>
        <w:t xml:space="preserve"> despite self-determination being a critical starting point for Aboriginal and Torres Strait Islander people </w:t>
      </w:r>
      <w:r w:rsidR="00142539">
        <w:rPr>
          <w:lang w:eastAsia="en-AU"/>
        </w:rPr>
        <w:t>to</w:t>
      </w:r>
      <w:r w:rsidR="00777DD4">
        <w:rPr>
          <w:lang w:eastAsia="en-AU"/>
        </w:rPr>
        <w:t xml:space="preserve"> </w:t>
      </w:r>
      <w:r w:rsidR="00CB4BE6">
        <w:rPr>
          <w:lang w:eastAsia="en-AU"/>
        </w:rPr>
        <w:t>engage with Victoria’s mental health system.</w:t>
      </w:r>
      <w:r>
        <w:rPr>
          <w:lang w:eastAsia="en-AU"/>
        </w:rPr>
        <w:t xml:space="preserve"> The Victorian Government has set out </w:t>
      </w:r>
      <w:r w:rsidRPr="007B64F8">
        <w:rPr>
          <w:lang w:eastAsia="en-AU"/>
        </w:rPr>
        <w:t>11 self-determination guiding principles</w:t>
      </w:r>
      <w:r>
        <w:rPr>
          <w:lang w:eastAsia="en-AU"/>
        </w:rPr>
        <w:t xml:space="preserve"> which should be implemented across government</w:t>
      </w:r>
      <w:r w:rsidR="004C016E">
        <w:rPr>
          <w:lang w:eastAsia="en-AU"/>
        </w:rPr>
        <w:t xml:space="preserve"> and within mental health and intersecting services</w:t>
      </w:r>
      <w:r w:rsidRPr="007B64F8">
        <w:rPr>
          <w:lang w:eastAsia="en-AU"/>
        </w:rPr>
        <w:t>: human rights, cultural integrity, commitment, Aboriginal expertise, partnership, decision-making, empowerment, cultural safety, investment, equity and accountability in</w:t>
      </w:r>
      <w:r w:rsidR="00E6728A">
        <w:rPr>
          <w:lang w:eastAsia="en-AU"/>
        </w:rPr>
        <w:t xml:space="preserve"> mental health</w:t>
      </w:r>
      <w:r w:rsidRPr="007B64F8">
        <w:rPr>
          <w:lang w:eastAsia="en-AU"/>
        </w:rPr>
        <w:t xml:space="preserve"> service design</w:t>
      </w:r>
      <w:r>
        <w:rPr>
          <w:lang w:eastAsia="en-AU"/>
        </w:rPr>
        <w:t>.</w:t>
      </w:r>
      <w:r w:rsidRPr="00AC58F5">
        <w:rPr>
          <w:vertAlign w:val="superscript"/>
        </w:rPr>
        <w:footnoteReference w:id="112"/>
      </w:r>
      <w:r>
        <w:rPr>
          <w:lang w:eastAsia="en-AU"/>
        </w:rPr>
        <w:t xml:space="preserve"> These principles should be embedded in mental health services, and safeguarded with legislative protection for the right to self-determination.</w:t>
      </w:r>
    </w:p>
    <w:p w14:paraId="0234A9D8" w14:textId="64D83D4A" w:rsidR="007B64F8" w:rsidRDefault="007B64F8" w:rsidP="00FE08E7">
      <w:pPr>
        <w:rPr>
          <w:lang w:eastAsia="en-AU"/>
        </w:rPr>
      </w:pPr>
      <w:r>
        <w:t xml:space="preserve">The Victorian Charter does not currently protect the right to health – a fundamental human right which forms part of Australia’s international obligations under the International Covenant on Economic, Social and Cultural Rights. Protecting the right to health within a strengthened Victorian Charter will ensure public authorities act consistently with this right, and improve the ability of consumers to enforce their rights. Queensland’s </w:t>
      </w:r>
      <w:r>
        <w:rPr>
          <w:i/>
          <w:iCs/>
        </w:rPr>
        <w:t xml:space="preserve">Human Rights Act 2019 </w:t>
      </w:r>
      <w:r>
        <w:t>(Qld) includes a right to health services which states that every person has the right to access health services without discrimination, and a person must not be refused emergency medical treatment that is immediately necessary to save the person’s life or to prevent serious impairment to the person.</w:t>
      </w:r>
      <w:r>
        <w:rPr>
          <w:rStyle w:val="FootnoteReference"/>
        </w:rPr>
        <w:footnoteReference w:id="113"/>
      </w:r>
      <w:r>
        <w:t xml:space="preserve"> </w:t>
      </w:r>
    </w:p>
    <w:p w14:paraId="4CAA54D4" w14:textId="514D7610" w:rsidR="00FE08E7" w:rsidRPr="00A17FA6" w:rsidRDefault="00A17FA6" w:rsidP="002915D4">
      <w:pPr>
        <w:shd w:val="clear" w:color="auto" w:fill="DEEAF6" w:themeFill="accent5" w:themeFillTint="33"/>
        <w:spacing w:line="240" w:lineRule="auto"/>
        <w:ind w:left="3119" w:hanging="2693"/>
      </w:pPr>
      <w:bookmarkStart w:id="2705" w:name="_Toc41332818"/>
      <w:bookmarkStart w:id="2706" w:name="_Toc41411992"/>
      <w:bookmarkStart w:id="2707" w:name="_Toc41325405"/>
      <w:r w:rsidRPr="00B9060C">
        <w:rPr>
          <w:b/>
          <w:bCs/>
        </w:rPr>
        <w:t xml:space="preserve">Recommendation </w:t>
      </w:r>
      <w:r>
        <w:rPr>
          <w:b/>
          <w:bCs/>
        </w:rPr>
        <w:t xml:space="preserve">31: </w:t>
      </w:r>
      <w:r w:rsidR="00EC0622">
        <w:rPr>
          <w:b/>
          <w:bCs/>
        </w:rPr>
        <w:tab/>
      </w:r>
      <w:r w:rsidR="007B64F8" w:rsidRPr="00A17FA6">
        <w:rPr>
          <w:b/>
          <w:bCs/>
        </w:rPr>
        <w:t>Strengthen human rights protections for consumers under the Victorian Charter</w:t>
      </w:r>
      <w:bookmarkEnd w:id="2705"/>
      <w:bookmarkEnd w:id="2706"/>
      <w:bookmarkEnd w:id="2707"/>
    </w:p>
    <w:p w14:paraId="3D8537C3" w14:textId="63869865" w:rsidR="00FE08E7" w:rsidRPr="002915D4" w:rsidRDefault="00FE08E7" w:rsidP="002915D4">
      <w:pPr>
        <w:shd w:val="clear" w:color="auto" w:fill="DEEAF6" w:themeFill="accent5" w:themeFillTint="33"/>
        <w:ind w:left="426"/>
      </w:pPr>
      <w:r w:rsidRPr="00A17FA6">
        <w:t xml:space="preserve">The Victorian Government should </w:t>
      </w:r>
      <w:r w:rsidR="007B64F8" w:rsidRPr="00A17FA6">
        <w:t xml:space="preserve">strengthen human rights protections for consumers by </w:t>
      </w:r>
      <w:r w:rsidRPr="00A17FA6">
        <w:t>implement</w:t>
      </w:r>
      <w:r w:rsidR="007B64F8" w:rsidRPr="00A17FA6">
        <w:t xml:space="preserve">ing </w:t>
      </w:r>
      <w:r w:rsidRPr="00A17FA6">
        <w:t>recommendations from the 2015 Human Rights Charter Review</w:t>
      </w:r>
      <w:r w:rsidR="007B64F8" w:rsidRPr="00A17FA6">
        <w:t>, and ensuring rights to health and self-determination are protected.</w:t>
      </w:r>
    </w:p>
    <w:p w14:paraId="1D89CACE" w14:textId="5BC1CB7C" w:rsidR="00FE08E7" w:rsidRDefault="007B64F8" w:rsidP="00E630C0">
      <w:pPr>
        <w:pStyle w:val="Heading3"/>
      </w:pPr>
      <w:r>
        <w:t>Incorporating</w:t>
      </w:r>
      <w:r w:rsidR="00FE08E7">
        <w:t xml:space="preserve"> </w:t>
      </w:r>
      <w:r>
        <w:t>the</w:t>
      </w:r>
      <w:r w:rsidR="00FE08E7">
        <w:t xml:space="preserve"> Convention on the Rights of People with Disabilities</w:t>
      </w:r>
      <w:r>
        <w:t xml:space="preserve"> into Victorian laws</w:t>
      </w:r>
    </w:p>
    <w:p w14:paraId="4A35F3C9" w14:textId="1DA7EE36" w:rsidR="00FE08E7" w:rsidRDefault="00FE08E7" w:rsidP="00FE08E7">
      <w:r>
        <w:t xml:space="preserve">The CRPD provides guidance to states on their responsibilities when making laws and developing policies that affect the lives of people with disability, including people experiencing mental health issues. The CRPD Committee regularly reviews Australia’s compliance. For example, the most recent concluding observations raised serious concerns around the absence of data on the number of people found not guilty due to </w:t>
      </w:r>
      <w:r w:rsidR="00411B57">
        <w:t>‘</w:t>
      </w:r>
      <w:r>
        <w:t>cognitive or mental health impairment</w:t>
      </w:r>
      <w:r w:rsidR="00411B57">
        <w:t>’</w:t>
      </w:r>
      <w:r>
        <w:t xml:space="preserve"> indefinitely detained.</w:t>
      </w:r>
      <w:r>
        <w:rPr>
          <w:rStyle w:val="FootnoteReference"/>
        </w:rPr>
        <w:footnoteReference w:id="114"/>
      </w:r>
      <w:r>
        <w:t xml:space="preserve"> </w:t>
      </w:r>
    </w:p>
    <w:p w14:paraId="12D653A5" w14:textId="77777777" w:rsidR="00FE08E7" w:rsidRDefault="00FE08E7" w:rsidP="002915D4">
      <w:r>
        <w:t>Victorian mental health services should comply with the CRPD, and Victorian laws should provide adequate protections for the human rights of people experiencing mental health issues in practice (e.g. access to effective remedies for breaches of human rights).</w:t>
      </w:r>
    </w:p>
    <w:p w14:paraId="43538A74" w14:textId="39AF285D" w:rsidR="00FE08E7" w:rsidRPr="00A17FA6" w:rsidRDefault="00A17FA6" w:rsidP="002915D4">
      <w:pPr>
        <w:pageBreakBefore/>
        <w:shd w:val="clear" w:color="auto" w:fill="DEEAF6" w:themeFill="accent5" w:themeFillTint="33"/>
        <w:spacing w:line="240" w:lineRule="auto"/>
        <w:ind w:left="3119" w:hanging="2693"/>
      </w:pPr>
      <w:bookmarkStart w:id="2708" w:name="_Toc41325406"/>
      <w:bookmarkStart w:id="2709" w:name="_Toc41332821"/>
      <w:bookmarkStart w:id="2710" w:name="_Toc41411993"/>
      <w:r w:rsidRPr="00B9060C">
        <w:rPr>
          <w:b/>
          <w:bCs/>
        </w:rPr>
        <w:lastRenderedPageBreak/>
        <w:t xml:space="preserve">Recommendation </w:t>
      </w:r>
      <w:r>
        <w:rPr>
          <w:b/>
          <w:bCs/>
        </w:rPr>
        <w:t xml:space="preserve">32: </w:t>
      </w:r>
      <w:r w:rsidR="00EC0622">
        <w:rPr>
          <w:b/>
          <w:bCs/>
        </w:rPr>
        <w:tab/>
      </w:r>
      <w:r w:rsidR="007B64F8" w:rsidRPr="00A17FA6">
        <w:rPr>
          <w:b/>
          <w:bCs/>
        </w:rPr>
        <w:t>Incorporate</w:t>
      </w:r>
      <w:r w:rsidR="00FE08E7" w:rsidRPr="00A17FA6">
        <w:rPr>
          <w:b/>
          <w:bCs/>
        </w:rPr>
        <w:t xml:space="preserve"> the C</w:t>
      </w:r>
      <w:r w:rsidR="007B64F8" w:rsidRPr="00A17FA6">
        <w:rPr>
          <w:b/>
          <w:bCs/>
        </w:rPr>
        <w:t>onvention on the Rights of People with Disabilities</w:t>
      </w:r>
      <w:r w:rsidR="00FE08E7" w:rsidRPr="00A17FA6">
        <w:rPr>
          <w:b/>
          <w:bCs/>
        </w:rPr>
        <w:t xml:space="preserve"> into Victorian laws</w:t>
      </w:r>
      <w:bookmarkEnd w:id="2708"/>
      <w:bookmarkEnd w:id="2709"/>
      <w:bookmarkEnd w:id="2710"/>
    </w:p>
    <w:p w14:paraId="357BE101" w14:textId="3390C0E5" w:rsidR="007C202F" w:rsidRPr="00A17FA6" w:rsidRDefault="00FE08E7" w:rsidP="002915D4">
      <w:pPr>
        <w:shd w:val="clear" w:color="auto" w:fill="DEEAF6" w:themeFill="accent5" w:themeFillTint="33"/>
        <w:ind w:left="426"/>
      </w:pPr>
      <w:r w:rsidRPr="00A17FA6">
        <w:t>The Victorian Government should consider how Victorian laws can better implement the Convention on the Rights of People with Disabilities</w:t>
      </w:r>
      <w:r w:rsidR="007B64F8" w:rsidRPr="00A17FA6">
        <w:t xml:space="preserve"> to better safeguard the human rights of people experiencing mental health issues</w:t>
      </w:r>
      <w:r w:rsidRPr="00A17FA6">
        <w:t>.</w:t>
      </w:r>
    </w:p>
    <w:p w14:paraId="5C7A4708" w14:textId="77777777" w:rsidR="007C202F" w:rsidRDefault="007C202F" w:rsidP="00285D9C">
      <w:pPr>
        <w:pStyle w:val="Heading3"/>
      </w:pPr>
      <w:r>
        <w:t xml:space="preserve">Implementation of OPCAT </w:t>
      </w:r>
    </w:p>
    <w:p w14:paraId="108E4BDE" w14:textId="4C817787" w:rsidR="007C202F" w:rsidRDefault="007C202F" w:rsidP="00586E33">
      <w:r>
        <w:t>The implementation of</w:t>
      </w:r>
      <w:r w:rsidR="00671DB1">
        <w:t xml:space="preserve"> </w:t>
      </w:r>
      <w:r w:rsidR="00671DB1" w:rsidRPr="002915D4">
        <w:rPr>
          <w:rFonts w:cs="Arial"/>
          <w:szCs w:val="22"/>
          <w:shd w:val="clear" w:color="auto" w:fill="FFFFFF"/>
        </w:rPr>
        <w:t>the Optional Protocol to the Convention against Torture and other Cruel, Inhuman or Degrading Treatment or Punishment </w:t>
      </w:r>
      <w:r w:rsidRPr="002915D4">
        <w:rPr>
          <w:sz w:val="24"/>
          <w:szCs w:val="28"/>
        </w:rPr>
        <w:t xml:space="preserve"> </w:t>
      </w:r>
      <w:r w:rsidR="00671DB1">
        <w:t>(</w:t>
      </w:r>
      <w:r w:rsidRPr="00427963">
        <w:rPr>
          <w:b/>
          <w:bCs/>
        </w:rPr>
        <w:t>OPCAT</w:t>
      </w:r>
      <w:r w:rsidR="00671DB1">
        <w:t>)</w:t>
      </w:r>
      <w:r>
        <w:t xml:space="preserve"> is an important opportunity to implement effective monitoring, oversight and accountability measures to prevent and address human rights abuses in closed environments, such as Victoria’s mental health system.</w:t>
      </w:r>
      <w:r>
        <w:rPr>
          <w:rStyle w:val="FootnoteReference"/>
        </w:rPr>
        <w:footnoteReference w:id="115"/>
      </w:r>
      <w:r>
        <w:t xml:space="preserve"> Any changes to the monitoring and oversight system should complement the forthcoming appointment of the National Preventive Mechanism (</w:t>
      </w:r>
      <w:r w:rsidRPr="00A34CC1">
        <w:rPr>
          <w:b/>
          <w:bCs/>
        </w:rPr>
        <w:t>NPM</w:t>
      </w:r>
      <w:r>
        <w:t>) in Victoria. This NPM must be established in line with international law and best practice</w:t>
      </w:r>
      <w:r w:rsidR="00740926">
        <w:t>, including embedding consumer leadership</w:t>
      </w:r>
      <w:r w:rsidR="007B64F8">
        <w:t>.</w:t>
      </w:r>
      <w:r>
        <w:rPr>
          <w:rStyle w:val="FootnoteReference"/>
        </w:rPr>
        <w:footnoteReference w:id="116"/>
      </w:r>
    </w:p>
    <w:p w14:paraId="4E8AA431" w14:textId="7FBCD999" w:rsidR="009A0A49" w:rsidRDefault="007C202F" w:rsidP="008D2BE8">
      <w:pPr>
        <w:keepNext/>
      </w:pPr>
      <w:r>
        <w:t>VLA recommends that OPCAT inspections should have particular regard to</w:t>
      </w:r>
      <w:r w:rsidR="007B64F8">
        <w:t xml:space="preserve"> </w:t>
      </w:r>
      <w:r>
        <w:t>the availability of adequate and timely mental health services for prisoners who have complex medical needs</w:t>
      </w:r>
      <w:r w:rsidR="007B64F8">
        <w:t>,</w:t>
      </w:r>
      <w:r>
        <w:rPr>
          <w:rStyle w:val="FootnoteReference"/>
        </w:rPr>
        <w:footnoteReference w:id="117"/>
      </w:r>
      <w:r w:rsidR="007B64F8">
        <w:t xml:space="preserve"> </w:t>
      </w:r>
      <w:r>
        <w:t>the supervision and care of prisoners experiencing significant mental health issues</w:t>
      </w:r>
      <w:r w:rsidR="007B64F8">
        <w:t xml:space="preserve">, and </w:t>
      </w:r>
      <w:r>
        <w:t xml:space="preserve">the treatment of people experiencing mental health issues in </w:t>
      </w:r>
      <w:r w:rsidR="007B64F8">
        <w:t xml:space="preserve">all </w:t>
      </w:r>
      <w:r>
        <w:t>closed environments</w:t>
      </w:r>
      <w:r w:rsidR="007A2679">
        <w:t>.</w:t>
      </w:r>
      <w:r w:rsidR="00586E33">
        <w:rPr>
          <w:rStyle w:val="FootnoteReference"/>
        </w:rPr>
        <w:footnoteReference w:id="118"/>
      </w:r>
    </w:p>
    <w:p w14:paraId="652C6E13" w14:textId="5F611004" w:rsidR="007C202F" w:rsidRPr="00A17FA6" w:rsidRDefault="00A17FA6" w:rsidP="002915D4">
      <w:pPr>
        <w:shd w:val="clear" w:color="auto" w:fill="DEEAF6" w:themeFill="accent5" w:themeFillTint="33"/>
        <w:spacing w:line="240" w:lineRule="auto"/>
        <w:ind w:left="3119" w:hanging="2693"/>
      </w:pPr>
      <w:bookmarkStart w:id="2711" w:name="_Toc41325407"/>
      <w:bookmarkStart w:id="2712" w:name="_Toc41332822"/>
      <w:bookmarkStart w:id="2713" w:name="_Toc41411994"/>
      <w:r w:rsidRPr="00B9060C">
        <w:rPr>
          <w:b/>
          <w:bCs/>
        </w:rPr>
        <w:t xml:space="preserve">Recommendation </w:t>
      </w:r>
      <w:r>
        <w:rPr>
          <w:b/>
          <w:bCs/>
        </w:rPr>
        <w:t xml:space="preserve">33: </w:t>
      </w:r>
      <w:r w:rsidR="00EC0622">
        <w:rPr>
          <w:b/>
          <w:bCs/>
        </w:rPr>
        <w:tab/>
      </w:r>
      <w:r w:rsidR="007C202F" w:rsidRPr="00A17FA6">
        <w:rPr>
          <w:b/>
          <w:bCs/>
        </w:rPr>
        <w:t>Ensure effective implementation</w:t>
      </w:r>
      <w:r w:rsidR="2058251A" w:rsidRPr="00A17FA6">
        <w:rPr>
          <w:b/>
          <w:bCs/>
        </w:rPr>
        <w:t xml:space="preserve"> of the Optional Protocol of the Convention Against Torture</w:t>
      </w:r>
      <w:bookmarkEnd w:id="2711"/>
      <w:bookmarkEnd w:id="2712"/>
      <w:bookmarkEnd w:id="2713"/>
    </w:p>
    <w:p w14:paraId="2D84D8B4" w14:textId="7A82D677" w:rsidR="007C202F" w:rsidRPr="00A17FA6" w:rsidRDefault="007C202F" w:rsidP="002915D4">
      <w:pPr>
        <w:shd w:val="clear" w:color="auto" w:fill="DEEAF6" w:themeFill="accent5" w:themeFillTint="33"/>
        <w:ind w:left="426"/>
      </w:pPr>
      <w:r w:rsidRPr="00A17FA6">
        <w:t>The Victorian Government should ensure that</w:t>
      </w:r>
      <w:r w:rsidR="007B64F8" w:rsidRPr="00A17FA6">
        <w:t xml:space="preserve"> </w:t>
      </w:r>
      <w:r w:rsidRPr="00A17FA6">
        <w:t xml:space="preserve">Victorian mental health services and prisons facilitate inspections by the </w:t>
      </w:r>
      <w:r w:rsidR="6F6871A9" w:rsidRPr="00A17FA6">
        <w:t>National Preventive Mechanism</w:t>
      </w:r>
      <w:r w:rsidRPr="00A17FA6">
        <w:t xml:space="preserve"> and comply with reports in a timely manner.</w:t>
      </w:r>
    </w:p>
    <w:p w14:paraId="6F47106D" w14:textId="712098F4" w:rsidR="00FE08E7" w:rsidRDefault="007B64F8" w:rsidP="00FE08E7">
      <w:pPr>
        <w:pStyle w:val="Heading2"/>
      </w:pPr>
      <w:bookmarkStart w:id="2714" w:name="_Toc41651966"/>
      <w:r>
        <w:t>Discrimination as a driver of</w:t>
      </w:r>
      <w:r w:rsidR="00FE08E7">
        <w:t xml:space="preserve"> mental health</w:t>
      </w:r>
      <w:r>
        <w:t xml:space="preserve"> issues</w:t>
      </w:r>
      <w:bookmarkEnd w:id="2714"/>
    </w:p>
    <w:p w14:paraId="144E0EBA" w14:textId="130B06E7" w:rsidR="00FE08E7" w:rsidRDefault="000056ED" w:rsidP="00FE08E7">
      <w:r>
        <w:t xml:space="preserve">Through our </w:t>
      </w:r>
      <w:r w:rsidR="009F22F5">
        <w:t>work with clients and consumers</w:t>
      </w:r>
      <w:r>
        <w:t>, VLA sees the impact of discrimination on people’s mental health</w:t>
      </w:r>
      <w:r w:rsidR="00522788">
        <w:t xml:space="preserve"> </w:t>
      </w:r>
      <w:r w:rsidR="00AC5BE1">
        <w:t>as well as</w:t>
      </w:r>
      <w:r w:rsidR="00601486">
        <w:t xml:space="preserve"> people experiencing discrimination because of their mental health</w:t>
      </w:r>
      <w:r w:rsidR="00522788">
        <w:t xml:space="preserve"> </w:t>
      </w:r>
      <w:r w:rsidR="009B7584">
        <w:t>issues or disability.</w:t>
      </w:r>
      <w:r w:rsidR="009B7584">
        <w:rPr>
          <w:rStyle w:val="FootnoteReference"/>
        </w:rPr>
        <w:footnoteReference w:id="119"/>
      </w:r>
      <w:r w:rsidR="00522788">
        <w:t xml:space="preserve"> </w:t>
      </w:r>
      <w:r w:rsidR="007B64F8">
        <w:t xml:space="preserve">Discrimination causes and exacerbates people’s mental health issues, and people experiencing mental health issues can face discrimination on this basis. </w:t>
      </w:r>
    </w:p>
    <w:p w14:paraId="1197A30E" w14:textId="272507EB" w:rsidR="00FE08E7" w:rsidRDefault="00FE08E7" w:rsidP="00FE08E7">
      <w:r w:rsidRPr="280D2981">
        <w:rPr>
          <w:rFonts w:eastAsia="Arial" w:cs="Arial"/>
          <w:szCs w:val="22"/>
        </w:rPr>
        <w:t>A significant weakness of Victorian discrimination law</w:t>
      </w:r>
      <w:r w:rsidR="007B64F8">
        <w:rPr>
          <w:rFonts w:eastAsia="Arial" w:cs="Arial"/>
          <w:szCs w:val="22"/>
        </w:rPr>
        <w:t>s</w:t>
      </w:r>
      <w:r w:rsidRPr="280D2981">
        <w:rPr>
          <w:rFonts w:eastAsia="Arial" w:cs="Arial"/>
          <w:szCs w:val="22"/>
        </w:rPr>
        <w:t xml:space="preserve"> is its reliance on a complaints-based system, where </w:t>
      </w:r>
      <w:r w:rsidR="007B64F8">
        <w:rPr>
          <w:rFonts w:eastAsia="Arial" w:cs="Arial"/>
          <w:szCs w:val="22"/>
        </w:rPr>
        <w:t xml:space="preserve">people experiencing </w:t>
      </w:r>
      <w:r w:rsidR="008E2AAF">
        <w:rPr>
          <w:rFonts w:eastAsia="Arial" w:cs="Arial"/>
          <w:szCs w:val="22"/>
        </w:rPr>
        <w:t>discrimination</w:t>
      </w:r>
      <w:r w:rsidR="00AC7CCB">
        <w:rPr>
          <w:rFonts w:eastAsia="Arial" w:cs="Arial"/>
          <w:szCs w:val="22"/>
        </w:rPr>
        <w:t>, including on the basis of their mental health,</w:t>
      </w:r>
      <w:r w:rsidR="007B64F8">
        <w:rPr>
          <w:rFonts w:eastAsia="Arial" w:cs="Arial"/>
          <w:szCs w:val="22"/>
        </w:rPr>
        <w:t xml:space="preserve"> bear the burden of</w:t>
      </w:r>
      <w:r w:rsidRPr="280D2981">
        <w:rPr>
          <w:rFonts w:eastAsia="Arial" w:cs="Arial"/>
          <w:szCs w:val="22"/>
        </w:rPr>
        <w:t xml:space="preserve"> </w:t>
      </w:r>
      <w:r w:rsidR="007B64F8">
        <w:rPr>
          <w:rFonts w:eastAsia="Arial" w:cs="Arial"/>
          <w:szCs w:val="22"/>
        </w:rPr>
        <w:t>bringing a complaint against services and people who have discriminated against them to access justice</w:t>
      </w:r>
      <w:r w:rsidRPr="280D2981">
        <w:rPr>
          <w:rFonts w:eastAsia="Arial" w:cs="Arial"/>
          <w:szCs w:val="22"/>
        </w:rPr>
        <w:t xml:space="preserve">. </w:t>
      </w:r>
      <w:r w:rsidR="007B64F8">
        <w:rPr>
          <w:rFonts w:eastAsia="Arial" w:cs="Arial"/>
          <w:szCs w:val="22"/>
        </w:rPr>
        <w:t>Through our casework, we also see the mental health strains of bringing a discrimination complaint.</w:t>
      </w:r>
      <w:r w:rsidRPr="280D2981">
        <w:rPr>
          <w:rFonts w:eastAsia="Arial" w:cs="Arial"/>
          <w:szCs w:val="22"/>
        </w:rPr>
        <w:t xml:space="preserve"> </w:t>
      </w:r>
      <w:r>
        <w:t xml:space="preserve">There are a series of reforms to discrimination laws needed to better prevent and address discrimination and its impact in causing or exacerbating mental health issues, </w:t>
      </w:r>
      <w:r>
        <w:lastRenderedPageBreak/>
        <w:t>and stalling recovery (e.g. people being reluctant to access services due to previous experiences of discrimination and harassment).</w:t>
      </w:r>
      <w:r>
        <w:rPr>
          <w:rStyle w:val="FootnoteReference"/>
        </w:rPr>
        <w:footnoteReference w:id="120"/>
      </w:r>
    </w:p>
    <w:p w14:paraId="2092D03E" w14:textId="04AE5D79" w:rsidR="007B64F8" w:rsidRDefault="007B64F8" w:rsidP="007B64F8">
      <w:r>
        <w:t xml:space="preserve">The </w:t>
      </w:r>
      <w:r w:rsidR="00411B57">
        <w:t xml:space="preserve">EOA </w:t>
      </w:r>
      <w:r>
        <w:t>should be amended to impose an enforceable positive duty to prevent discrimination, empower the Victorian Equal Opportunity and Human Rights Commission to effectively address discrimination, reduce the costs risks for people bringing complaints and shift the burden of proof for proving unlawful discrimination to the employer once the employee has established a prima facie case. These changes will play an important preventative function to reduce the harmful impact of discrimination against people because of their mental health issues, and based on other personal attributes which could cause or exacerbate mental health issues.</w:t>
      </w:r>
    </w:p>
    <w:p w14:paraId="01570D62" w14:textId="7BD57231" w:rsidR="00FE08E7" w:rsidRPr="001028B6" w:rsidRDefault="00A17FA6" w:rsidP="00CB2A3F">
      <w:pPr>
        <w:shd w:val="clear" w:color="auto" w:fill="DEEAF6" w:themeFill="accent5" w:themeFillTint="33"/>
        <w:ind w:left="426"/>
      </w:pPr>
      <w:bookmarkStart w:id="2715" w:name="_Toc41325408"/>
      <w:bookmarkStart w:id="2716" w:name="_Toc41332823"/>
      <w:bookmarkStart w:id="2717" w:name="_Toc41411995"/>
      <w:r w:rsidRPr="00B9060C">
        <w:rPr>
          <w:b/>
          <w:bCs/>
        </w:rPr>
        <w:t xml:space="preserve">Recommendation </w:t>
      </w:r>
      <w:r>
        <w:rPr>
          <w:b/>
          <w:bCs/>
        </w:rPr>
        <w:t xml:space="preserve">34: </w:t>
      </w:r>
      <w:r w:rsidR="000525AB">
        <w:rPr>
          <w:b/>
          <w:bCs/>
        </w:rPr>
        <w:tab/>
      </w:r>
      <w:r w:rsidR="00FE08E7" w:rsidRPr="00A17FA6">
        <w:rPr>
          <w:b/>
          <w:bCs/>
        </w:rPr>
        <w:t>Reduc</w:t>
      </w:r>
      <w:r w:rsidR="007B64F8" w:rsidRPr="00A17FA6">
        <w:rPr>
          <w:b/>
          <w:bCs/>
        </w:rPr>
        <w:t>e</w:t>
      </w:r>
      <w:r w:rsidR="00FE08E7" w:rsidRPr="00A17FA6">
        <w:rPr>
          <w:b/>
          <w:bCs/>
        </w:rPr>
        <w:t xml:space="preserve"> discrimination</w:t>
      </w:r>
      <w:r w:rsidR="007B64F8" w:rsidRPr="00A17FA6">
        <w:rPr>
          <w:b/>
          <w:bCs/>
        </w:rPr>
        <w:t xml:space="preserve"> as a driver of mental health issues</w:t>
      </w:r>
      <w:bookmarkEnd w:id="2715"/>
      <w:bookmarkEnd w:id="2716"/>
      <w:bookmarkEnd w:id="2717"/>
    </w:p>
    <w:p w14:paraId="03A90C0C" w14:textId="0E0BAC69" w:rsidR="00FE08E7" w:rsidRPr="00A17FA6" w:rsidRDefault="00FE08E7" w:rsidP="00CB2A3F">
      <w:pPr>
        <w:shd w:val="clear" w:color="auto" w:fill="DEEAF6" w:themeFill="accent5" w:themeFillTint="33"/>
        <w:ind w:left="426"/>
      </w:pPr>
      <w:r w:rsidRPr="00A17FA6">
        <w:t xml:space="preserve">The Victorian Government should amend the </w:t>
      </w:r>
      <w:r w:rsidRPr="00CB2A3F">
        <w:rPr>
          <w:i/>
          <w:iCs/>
        </w:rPr>
        <w:t xml:space="preserve">Equal Opportunity Act 2010 </w:t>
      </w:r>
      <w:r w:rsidRPr="00A17FA6">
        <w:t>(Vic) to</w:t>
      </w:r>
      <w:r w:rsidR="007B64F8" w:rsidRPr="00A17FA6">
        <w:t xml:space="preserve"> prevent discrimination as a driver o</w:t>
      </w:r>
      <w:r w:rsidR="00C15190" w:rsidRPr="00A17FA6">
        <w:t>f</w:t>
      </w:r>
      <w:r w:rsidR="007B64F8" w:rsidRPr="00A17FA6">
        <w:t xml:space="preserve"> mental health issues, including by introducing an enforceable positive duty, stronger enforcement powers, and reducing the burden on individuals to bring complaints.</w:t>
      </w:r>
    </w:p>
    <w:p w14:paraId="6E98263D" w14:textId="20F841AF" w:rsidR="00FE08E7" w:rsidRDefault="00FE08E7" w:rsidP="00FE08E7">
      <w:pPr>
        <w:pStyle w:val="Heading2"/>
      </w:pPr>
      <w:bookmarkStart w:id="2718" w:name="_Toc41651967"/>
      <w:r>
        <w:t>Preventing sexual harassment as a driver of mental health issues</w:t>
      </w:r>
      <w:bookmarkEnd w:id="2718"/>
    </w:p>
    <w:p w14:paraId="5DFFDA4F" w14:textId="77777777" w:rsidR="00FE08E7" w:rsidRDefault="00FE08E7" w:rsidP="00FE08E7">
      <w:r>
        <w:t xml:space="preserve">In March 2020, the Australian Human Rights Commission released its </w:t>
      </w:r>
      <w:proofErr w:type="spellStart"/>
      <w:r>
        <w:rPr>
          <w:i/>
          <w:iCs/>
        </w:rPr>
        <w:t>Respect@Work</w:t>
      </w:r>
      <w:proofErr w:type="spellEnd"/>
      <w:r>
        <w:t xml:space="preserve"> report into sexual harassment at work.</w:t>
      </w:r>
      <w:r>
        <w:rPr>
          <w:rStyle w:val="FootnoteReference"/>
        </w:rPr>
        <w:footnoteReference w:id="121"/>
      </w:r>
      <w:r>
        <w:t xml:space="preserve"> The report confirmed research findings that victims of workplace sexual harassment commonly experience a range of mental health issues, including stress, anxiety, depression and PTSD.</w:t>
      </w:r>
      <w:r>
        <w:rPr>
          <w:rStyle w:val="FootnoteReference"/>
        </w:rPr>
        <w:footnoteReference w:id="122"/>
      </w:r>
      <w:r>
        <w:t xml:space="preserve"> </w:t>
      </w:r>
    </w:p>
    <w:p w14:paraId="3B66F51F" w14:textId="620713E0" w:rsidR="00FE08E7" w:rsidRDefault="00FE08E7" w:rsidP="00FE08E7">
      <w:r>
        <w:t xml:space="preserve">Many VLA clients are reluctant to make a complaint, including concerns around the strain it will have on their mental health, and fears it will have </w:t>
      </w:r>
      <w:r w:rsidR="00F67ED5">
        <w:t>a</w:t>
      </w:r>
      <w:r>
        <w:t xml:space="preserve"> negative impact on their reputation and career.</w:t>
      </w:r>
      <w:r>
        <w:rPr>
          <w:rStyle w:val="FootnoteReference"/>
        </w:rPr>
        <w:footnoteReference w:id="123"/>
      </w:r>
      <w:r>
        <w:t xml:space="preserve"> Victims of sexual harassment should have access to appropriate and timely specialist support when they need it, including access to information and counselling that is appropriately resourced and coordinated. However, many of our clients report difficulties accessing supports in the mental health system, including access problems relating to wait times and financial constraints.</w:t>
      </w:r>
      <w:r>
        <w:rPr>
          <w:rStyle w:val="FootnoteReference"/>
        </w:rPr>
        <w:footnoteReference w:id="124"/>
      </w:r>
      <w:r>
        <w:t xml:space="preserve"> There are also insufficient measures to prevent sexual harassment, the need for a fairer and more accessible complaints system, and systems needed to increase the impact of individual complaints, as well as better support for victims of sexual harassment.</w:t>
      </w:r>
      <w:r>
        <w:rPr>
          <w:rStyle w:val="FootnoteReference"/>
        </w:rPr>
        <w:footnoteReference w:id="125"/>
      </w:r>
    </w:p>
    <w:p w14:paraId="77D679BB" w14:textId="34E38C03" w:rsidR="00FE08E7" w:rsidRPr="00A17FA6" w:rsidRDefault="00A17FA6" w:rsidP="00CB2A3F">
      <w:pPr>
        <w:pageBreakBefore/>
        <w:shd w:val="clear" w:color="auto" w:fill="DEEAF6" w:themeFill="accent5" w:themeFillTint="33"/>
        <w:spacing w:line="240" w:lineRule="auto"/>
        <w:ind w:left="3119" w:hanging="2693"/>
      </w:pPr>
      <w:bookmarkStart w:id="2719" w:name="_Toc41325410"/>
      <w:bookmarkStart w:id="2720" w:name="_Toc41332824"/>
      <w:bookmarkStart w:id="2721" w:name="_Toc41411996"/>
      <w:r w:rsidRPr="00B9060C">
        <w:rPr>
          <w:b/>
          <w:bCs/>
        </w:rPr>
        <w:lastRenderedPageBreak/>
        <w:t xml:space="preserve">Recommendation </w:t>
      </w:r>
      <w:r>
        <w:rPr>
          <w:b/>
          <w:bCs/>
        </w:rPr>
        <w:t xml:space="preserve">35: </w:t>
      </w:r>
      <w:r w:rsidR="000525AB">
        <w:rPr>
          <w:b/>
          <w:bCs/>
        </w:rPr>
        <w:tab/>
      </w:r>
      <w:r w:rsidR="00FE08E7" w:rsidRPr="00A17FA6">
        <w:rPr>
          <w:b/>
          <w:bCs/>
        </w:rPr>
        <w:t xml:space="preserve">Prevent and address workplace sexual harassment </w:t>
      </w:r>
      <w:r w:rsidR="007B64F8" w:rsidRPr="00A17FA6">
        <w:rPr>
          <w:b/>
          <w:bCs/>
        </w:rPr>
        <w:t>to reduce mental health impacts</w:t>
      </w:r>
      <w:bookmarkEnd w:id="2719"/>
      <w:bookmarkEnd w:id="2720"/>
      <w:bookmarkEnd w:id="2721"/>
    </w:p>
    <w:p w14:paraId="7A08E21B" w14:textId="555AA9ED" w:rsidR="00FE08E7" w:rsidRPr="00A17FA6" w:rsidRDefault="00FE08E7" w:rsidP="00CB2A3F">
      <w:pPr>
        <w:shd w:val="clear" w:color="auto" w:fill="DEEAF6" w:themeFill="accent5" w:themeFillTint="33"/>
        <w:ind w:left="426"/>
      </w:pPr>
      <w:r w:rsidRPr="00A17FA6">
        <w:t xml:space="preserve">The Victorian Government should implement relevant Australian Human Rights Commission’s </w:t>
      </w:r>
      <w:proofErr w:type="spellStart"/>
      <w:r w:rsidRPr="00A17FA6">
        <w:rPr>
          <w:i/>
          <w:iCs/>
        </w:rPr>
        <w:t>Respect@Work</w:t>
      </w:r>
      <w:proofErr w:type="spellEnd"/>
      <w:r w:rsidRPr="00CB2A3F">
        <w:t xml:space="preserve"> </w:t>
      </w:r>
      <w:r w:rsidR="007B64F8" w:rsidRPr="00A17FA6">
        <w:t>recommendations to reduce workplace sexual harassment as a driver of mental health issues.</w:t>
      </w:r>
    </w:p>
    <w:p w14:paraId="2E1C29C5" w14:textId="77777777" w:rsidR="0040503A" w:rsidRDefault="0040503A" w:rsidP="0040503A">
      <w:pPr>
        <w:pStyle w:val="Heading1"/>
      </w:pPr>
      <w:bookmarkStart w:id="2722" w:name="_Toc41325416"/>
      <w:bookmarkStart w:id="2723" w:name="_Toc41332825"/>
      <w:bookmarkStart w:id="2724" w:name="_Toc41412002"/>
      <w:bookmarkStart w:id="2725" w:name="_Toc41651968"/>
      <w:r>
        <w:t>Children and young people</w:t>
      </w:r>
      <w:bookmarkEnd w:id="2722"/>
      <w:bookmarkEnd w:id="2723"/>
      <w:bookmarkEnd w:id="2724"/>
      <w:bookmarkEnd w:id="2725"/>
    </w:p>
    <w:p w14:paraId="097B3353" w14:textId="511017D0" w:rsidR="0040503A" w:rsidRDefault="3BBE8093" w:rsidP="0040503A">
      <w:pPr>
        <w:rPr>
          <w:lang w:eastAsia="en-AU"/>
        </w:rPr>
      </w:pPr>
      <w:r>
        <w:t xml:space="preserve">Children and young people are often not able to access appropriate services because services are limited where they live or because there is no one to take them to the service. </w:t>
      </w:r>
      <w:r w:rsidR="0040503A">
        <w:rPr>
          <w:lang w:eastAsia="en-AU"/>
        </w:rPr>
        <w:t>Children and young people require specialist support and mental health services reflective of their age and cognitive development that recognise the unique difference in supports required by children and young people. Where young people are themselves experiencing family violence in the home, this can impact on their mental health and act as a barrier to them accessing support. Receiving tailored, specialist support can assist in avoiding them experiencing legal problems when experiencing a mental health crisis.</w:t>
      </w:r>
    </w:p>
    <w:p w14:paraId="566CB8F0" w14:textId="6EFC8FF7" w:rsidR="0040503A" w:rsidRDefault="0040503A" w:rsidP="0040503A">
      <w:pPr>
        <w:pStyle w:val="Heading2"/>
      </w:pPr>
      <w:bookmarkStart w:id="2726" w:name="_Toc41651969"/>
      <w:r w:rsidRPr="007A09DF">
        <w:t>Access to tailored services</w:t>
      </w:r>
      <w:bookmarkEnd w:id="2726"/>
    </w:p>
    <w:p w14:paraId="23FFBB76" w14:textId="77777777" w:rsidR="0040503A" w:rsidRPr="007D2AFB" w:rsidRDefault="0040503A" w:rsidP="0040503A">
      <w:pPr>
        <w:rPr>
          <w:lang w:eastAsia="en-AU"/>
        </w:rPr>
      </w:pPr>
      <w:r>
        <w:rPr>
          <w:lang w:eastAsia="en-AU"/>
        </w:rPr>
        <w:t>C</w:t>
      </w:r>
      <w:r w:rsidRPr="007D2AFB">
        <w:rPr>
          <w:lang w:eastAsia="en-AU"/>
        </w:rPr>
        <w:t>hildren and young people receiving mental health services should have their best interests recognised and promoted as a primary consideration, including receiving services separately from adults.</w:t>
      </w:r>
      <w:r w:rsidRPr="007D2AFB">
        <w:rPr>
          <w:vertAlign w:val="superscript"/>
          <w:lang w:eastAsia="en-AU"/>
        </w:rPr>
        <w:footnoteReference w:id="126"/>
      </w:r>
      <w:r w:rsidRPr="007D2AFB">
        <w:rPr>
          <w:lang w:eastAsia="en-AU"/>
        </w:rPr>
        <w:t xml:space="preserve"> </w:t>
      </w:r>
      <w:r>
        <w:rPr>
          <w:lang w:eastAsia="en-AU"/>
        </w:rPr>
        <w:t xml:space="preserve">Our </w:t>
      </w:r>
      <w:r>
        <w:rPr>
          <w:i/>
          <w:iCs/>
          <w:lang w:eastAsia="en-AU"/>
        </w:rPr>
        <w:t xml:space="preserve">Roads to Recovery </w:t>
      </w:r>
      <w:r>
        <w:rPr>
          <w:lang w:eastAsia="en-AU"/>
        </w:rPr>
        <w:t xml:space="preserve">submission highlights the lack of </w:t>
      </w:r>
      <w:r w:rsidRPr="007D2AFB">
        <w:rPr>
          <w:lang w:eastAsia="en-AU"/>
        </w:rPr>
        <w:t>appropriate youth-specific services available throughout Victoria</w:t>
      </w:r>
      <w:r>
        <w:rPr>
          <w:lang w:eastAsia="en-AU"/>
        </w:rPr>
        <w:t xml:space="preserve">, including for </w:t>
      </w:r>
      <w:r w:rsidRPr="007D2AFB">
        <w:rPr>
          <w:lang w:eastAsia="en-AU"/>
        </w:rPr>
        <w:t>children in Secure Welfare Services</w:t>
      </w:r>
      <w:r>
        <w:rPr>
          <w:lang w:eastAsia="en-AU"/>
        </w:rPr>
        <w:t>.</w:t>
      </w:r>
      <w:r>
        <w:rPr>
          <w:rStyle w:val="FootnoteReference"/>
          <w:lang w:eastAsia="en-AU"/>
        </w:rPr>
        <w:footnoteReference w:id="127"/>
      </w:r>
    </w:p>
    <w:p w14:paraId="747F22F4" w14:textId="1A082F6B" w:rsidR="005412F1" w:rsidDel="005412F1" w:rsidRDefault="00E819C7" w:rsidP="005412F1">
      <w:pPr>
        <w:rPr>
          <w:lang w:eastAsia="en-AU"/>
        </w:rPr>
      </w:pPr>
      <w:r>
        <w:rPr>
          <w:lang w:eastAsia="en-AU"/>
        </w:rPr>
        <w:t>Across VLA’s practice areas we see the impacts if young people do not receive the right supports at the right</w:t>
      </w:r>
      <w:r w:rsidR="0014643F">
        <w:rPr>
          <w:lang w:eastAsia="en-AU"/>
        </w:rPr>
        <w:t xml:space="preserve"> time</w:t>
      </w:r>
      <w:r w:rsidR="006B2AC4">
        <w:rPr>
          <w:lang w:eastAsia="en-AU"/>
        </w:rPr>
        <w:t xml:space="preserve">. </w:t>
      </w:r>
      <w:r w:rsidR="00B92080">
        <w:rPr>
          <w:lang w:eastAsia="en-AU"/>
        </w:rPr>
        <w:t xml:space="preserve">We see how </w:t>
      </w:r>
      <w:r w:rsidR="008A61F7">
        <w:rPr>
          <w:lang w:eastAsia="en-AU"/>
        </w:rPr>
        <w:t>a lack of mental health supports can increase the likelihood of being drawn into homelessness or the</w:t>
      </w:r>
      <w:r w:rsidR="008B0B86">
        <w:rPr>
          <w:lang w:eastAsia="en-AU"/>
        </w:rPr>
        <w:t xml:space="preserve"> child protection, family violence</w:t>
      </w:r>
      <w:r w:rsidR="00F371F5">
        <w:rPr>
          <w:lang w:eastAsia="en-AU"/>
        </w:rPr>
        <w:t xml:space="preserve">, compulsory mental health treatment </w:t>
      </w:r>
      <w:r w:rsidR="008A61F7">
        <w:rPr>
          <w:lang w:eastAsia="en-AU"/>
        </w:rPr>
        <w:t>or</w:t>
      </w:r>
      <w:r w:rsidR="00F371F5">
        <w:rPr>
          <w:lang w:eastAsia="en-AU"/>
        </w:rPr>
        <w:t xml:space="preserve"> youth justice</w:t>
      </w:r>
      <w:r w:rsidR="008A61F7">
        <w:rPr>
          <w:lang w:eastAsia="en-AU"/>
        </w:rPr>
        <w:t xml:space="preserve"> systems</w:t>
      </w:r>
      <w:r w:rsidR="00F371F5">
        <w:rPr>
          <w:lang w:eastAsia="en-AU"/>
        </w:rPr>
        <w:t>.</w:t>
      </w:r>
      <w:r w:rsidR="005412F1">
        <w:rPr>
          <w:lang w:eastAsia="en-AU"/>
        </w:rPr>
        <w:t xml:space="preserve"> </w:t>
      </w:r>
      <w:r w:rsidR="005412F1">
        <w:t>Early intervention and support for children to address their underlying issues, can prevent ongoing behavioural and emotional patterns which can lead to offending.</w:t>
      </w:r>
      <w:r w:rsidR="005412F1">
        <w:rPr>
          <w:rStyle w:val="FootnoteReference"/>
        </w:rPr>
        <w:footnoteReference w:id="128"/>
      </w:r>
      <w:r w:rsidR="005412F1">
        <w:t xml:space="preserve"> </w:t>
      </w:r>
    </w:p>
    <w:p w14:paraId="24C76367" w14:textId="4C6CD856" w:rsidR="0040503A" w:rsidRDefault="0040503A" w:rsidP="0040503A">
      <w:pPr>
        <w:rPr>
          <w:lang w:eastAsia="en-AU"/>
        </w:rPr>
      </w:pPr>
      <w:r w:rsidRPr="007D2AFB">
        <w:rPr>
          <w:lang w:eastAsia="en-AU"/>
        </w:rPr>
        <w:t xml:space="preserve">Young people are also affected by the differential funding levels for adults and youth services, and the consequential experience of service drop-off for those reaching adulthood. Mental health services should have regard to facilitating continuity of access to services for young people </w:t>
      </w:r>
      <w:r>
        <w:rPr>
          <w:lang w:eastAsia="en-AU"/>
        </w:rPr>
        <w:t>aged 18-25</w:t>
      </w:r>
      <w:r w:rsidRPr="007D2AFB">
        <w:rPr>
          <w:lang w:eastAsia="en-AU"/>
        </w:rPr>
        <w:t>, the impact of being cut off from youth services without adult services or case management planned, and the need for more flexible transition processes.</w:t>
      </w:r>
    </w:p>
    <w:p w14:paraId="103D2F7A" w14:textId="6B3275A4" w:rsidR="0040503A" w:rsidRPr="001028B6" w:rsidRDefault="00A17FA6" w:rsidP="00CB2A3F">
      <w:pPr>
        <w:shd w:val="clear" w:color="auto" w:fill="DEEAF6" w:themeFill="accent5" w:themeFillTint="33"/>
        <w:ind w:left="426"/>
      </w:pPr>
      <w:bookmarkStart w:id="2727" w:name="_Toc41325417"/>
      <w:bookmarkStart w:id="2728" w:name="_Toc41332826"/>
      <w:bookmarkStart w:id="2729" w:name="_Toc41412003"/>
      <w:r w:rsidRPr="00B9060C">
        <w:rPr>
          <w:b/>
          <w:bCs/>
        </w:rPr>
        <w:t xml:space="preserve">Recommendation </w:t>
      </w:r>
      <w:r>
        <w:rPr>
          <w:b/>
          <w:bCs/>
        </w:rPr>
        <w:t xml:space="preserve">36: </w:t>
      </w:r>
      <w:r w:rsidR="000525AB">
        <w:rPr>
          <w:b/>
          <w:bCs/>
        </w:rPr>
        <w:tab/>
      </w:r>
      <w:r w:rsidR="007B64F8" w:rsidRPr="00A17FA6">
        <w:rPr>
          <w:b/>
          <w:bCs/>
        </w:rPr>
        <w:t>Guarantee s</w:t>
      </w:r>
      <w:r w:rsidR="0040503A" w:rsidRPr="00A17FA6">
        <w:rPr>
          <w:b/>
          <w:bCs/>
        </w:rPr>
        <w:t>pecialist supports for children and young people</w:t>
      </w:r>
      <w:bookmarkEnd w:id="2727"/>
      <w:bookmarkEnd w:id="2728"/>
      <w:bookmarkEnd w:id="2729"/>
    </w:p>
    <w:p w14:paraId="6F60AFD3" w14:textId="4A1E2140" w:rsidR="009F59F6" w:rsidRPr="00A17FA6" w:rsidRDefault="0040503A" w:rsidP="00CB2A3F">
      <w:pPr>
        <w:shd w:val="clear" w:color="auto" w:fill="DEEAF6" w:themeFill="accent5" w:themeFillTint="33"/>
        <w:ind w:left="426"/>
      </w:pPr>
      <w:r w:rsidRPr="00A17FA6">
        <w:t xml:space="preserve">The </w:t>
      </w:r>
      <w:r w:rsidR="00AA6F2D" w:rsidRPr="00A17FA6">
        <w:t>Victorian government</w:t>
      </w:r>
      <w:r w:rsidRPr="00A17FA6">
        <w:t xml:space="preserve"> should ensure that</w:t>
      </w:r>
      <w:r w:rsidR="007B64F8" w:rsidRPr="00A17FA6">
        <w:t xml:space="preserve"> young people can access tailored youth services </w:t>
      </w:r>
      <w:proofErr w:type="spellStart"/>
      <w:r w:rsidR="007B64F8" w:rsidRPr="00A17FA6">
        <w:t>statewide</w:t>
      </w:r>
      <w:proofErr w:type="spellEnd"/>
      <w:r w:rsidR="007B64F8" w:rsidRPr="00A17FA6">
        <w:t xml:space="preserve"> (including inpatient care) and improve </w:t>
      </w:r>
      <w:r w:rsidRPr="00A17FA6">
        <w:t>transitions from youth to adult services.</w:t>
      </w:r>
      <w:r w:rsidR="009F59F6" w:rsidRPr="00A17FA6" w:rsidDel="009F59F6">
        <w:t xml:space="preserve"> </w:t>
      </w:r>
    </w:p>
    <w:p w14:paraId="4E25CC18" w14:textId="7631CBB4" w:rsidR="0040503A" w:rsidRDefault="0040503A" w:rsidP="0040503A">
      <w:pPr>
        <w:pStyle w:val="Heading2"/>
      </w:pPr>
      <w:bookmarkStart w:id="2730" w:name="_Toc41651970"/>
      <w:r>
        <w:lastRenderedPageBreak/>
        <w:t>Specialised supports in child protection and out of home care</w:t>
      </w:r>
      <w:bookmarkEnd w:id="2730"/>
      <w:r>
        <w:t xml:space="preserve"> </w:t>
      </w:r>
    </w:p>
    <w:p w14:paraId="1B13821F" w14:textId="77777777" w:rsidR="0040503A" w:rsidRDefault="0040503A" w:rsidP="00285D9C">
      <w:pPr>
        <w:pStyle w:val="Heading3"/>
      </w:pPr>
      <w:r>
        <w:t>Supports for children in out of home care</w:t>
      </w:r>
    </w:p>
    <w:p w14:paraId="5673AB17" w14:textId="0E6FB4B9" w:rsidR="0040503A" w:rsidRDefault="005719DB" w:rsidP="0040503A">
      <w:r>
        <w:t xml:space="preserve">Children </w:t>
      </w:r>
      <w:r w:rsidR="001A5F0D">
        <w:t xml:space="preserve">with child protection involvement are </w:t>
      </w:r>
      <w:r w:rsidR="00C9206B">
        <w:t xml:space="preserve">already </w:t>
      </w:r>
      <w:r w:rsidR="001A5F0D">
        <w:t>vulnerable</w:t>
      </w:r>
      <w:r w:rsidR="00C9206B">
        <w:t xml:space="preserve">, but they face </w:t>
      </w:r>
      <w:r w:rsidR="00BE256A">
        <w:t>further difficulties in accessing appropriate mental health support when they need it.</w:t>
      </w:r>
      <w:r w:rsidR="001A5F0D">
        <w:t xml:space="preserve"> </w:t>
      </w:r>
      <w:r w:rsidR="0040503A">
        <w:t xml:space="preserve">Links with existing supports can be interrupted by moving between </w:t>
      </w:r>
      <w:r w:rsidR="00BE256A">
        <w:t xml:space="preserve">out of home care </w:t>
      </w:r>
      <w:r w:rsidR="0040503A">
        <w:t>placements.</w:t>
      </w:r>
      <w:r w:rsidR="0040503A" w:rsidRPr="0042468A">
        <w:t xml:space="preserve"> For </w:t>
      </w:r>
      <w:r w:rsidR="0040503A">
        <w:t>some</w:t>
      </w:r>
      <w:r w:rsidR="0040503A" w:rsidRPr="0042468A">
        <w:t xml:space="preserve">, this </w:t>
      </w:r>
      <w:r w:rsidR="0040503A">
        <w:t>i</w:t>
      </w:r>
      <w:r w:rsidR="0040503A" w:rsidRPr="0042468A">
        <w:t xml:space="preserve">s exacerbated by placement in Secure Welfare. </w:t>
      </w:r>
      <w:r w:rsidR="00DE5579">
        <w:t>More generally, t</w:t>
      </w:r>
      <w:r w:rsidR="0040503A" w:rsidRPr="0042468A">
        <w:t xml:space="preserve">here </w:t>
      </w:r>
      <w:r w:rsidR="003E4CF4">
        <w:t>are</w:t>
      </w:r>
      <w:r w:rsidR="0040503A" w:rsidRPr="0042468A">
        <w:t xml:space="preserve"> often only limited mental health supports provided </w:t>
      </w:r>
      <w:r w:rsidR="00DE5579">
        <w:t xml:space="preserve">at all </w:t>
      </w:r>
      <w:r w:rsidR="0040503A" w:rsidRPr="0042468A">
        <w:t>currently for Victoria’s most vulnerable children in state care</w:t>
      </w:r>
      <w:r w:rsidR="00DE5579">
        <w:t>,</w:t>
      </w:r>
      <w:r w:rsidR="0040503A" w:rsidRPr="0042468A">
        <w:t xml:space="preserve"> </w:t>
      </w:r>
      <w:r w:rsidR="0040503A">
        <w:t xml:space="preserve">including </w:t>
      </w:r>
      <w:r w:rsidR="0040503A" w:rsidRPr="0042468A">
        <w:t>in Secure Welfare</w:t>
      </w:r>
      <w:r w:rsidR="0040503A">
        <w:t xml:space="preserve">, despite children being placed in Secure Welfare often having increased </w:t>
      </w:r>
      <w:r w:rsidR="0040503A" w:rsidRPr="00D101DF">
        <w:t>need</w:t>
      </w:r>
      <w:r w:rsidR="0040503A">
        <w:t xml:space="preserve"> for mental health support.</w:t>
      </w:r>
      <w:r w:rsidR="0040503A">
        <w:rPr>
          <w:rStyle w:val="FootnoteReference"/>
          <w:rFonts w:cs="Arial"/>
        </w:rPr>
        <w:footnoteReference w:id="129"/>
      </w:r>
    </w:p>
    <w:p w14:paraId="2E77644D" w14:textId="6E74D267" w:rsidR="0040503A" w:rsidRDefault="0040503A" w:rsidP="0040503A">
      <w:pPr>
        <w:rPr>
          <w:lang w:eastAsia="en-AU"/>
        </w:rPr>
      </w:pPr>
      <w:r w:rsidRPr="007D2AFB">
        <w:rPr>
          <w:lang w:eastAsia="en-AU"/>
        </w:rPr>
        <w:t xml:space="preserve">We have seen </w:t>
      </w:r>
      <w:r w:rsidR="00210FCB">
        <w:rPr>
          <w:lang w:eastAsia="en-AU"/>
        </w:rPr>
        <w:t>cases in which</w:t>
      </w:r>
      <w:r w:rsidRPr="007D2AFB">
        <w:rPr>
          <w:lang w:eastAsia="en-AU"/>
        </w:rPr>
        <w:t xml:space="preserve"> young people already had a treating psychologist who they had an established relationship with, but DHHS sought new psychiatrist/psychologist assessments once the young person was in Secure Welfare. On other occasions a mental health assessment is not arranged at all, even when a young person’s mental health was one of the issues that placed them in immediate and substantial risk causing their placement in Secure Welfare. </w:t>
      </w:r>
    </w:p>
    <w:p w14:paraId="354FBABC" w14:textId="71DE4BF5" w:rsidR="0040503A" w:rsidRPr="001028B6" w:rsidRDefault="00A17FA6" w:rsidP="00CB2A3F">
      <w:pPr>
        <w:shd w:val="clear" w:color="auto" w:fill="DEEAF6" w:themeFill="accent5" w:themeFillTint="33"/>
        <w:spacing w:line="240" w:lineRule="auto"/>
        <w:ind w:left="3119" w:hanging="2693"/>
      </w:pPr>
      <w:bookmarkStart w:id="2731" w:name="_Toc41332827"/>
      <w:bookmarkStart w:id="2732" w:name="_Toc41325418"/>
      <w:bookmarkStart w:id="2733" w:name="_Toc41412004"/>
      <w:r w:rsidRPr="00B9060C">
        <w:rPr>
          <w:b/>
          <w:bCs/>
        </w:rPr>
        <w:t xml:space="preserve">Recommendation </w:t>
      </w:r>
      <w:r>
        <w:rPr>
          <w:b/>
          <w:bCs/>
        </w:rPr>
        <w:t xml:space="preserve">37: </w:t>
      </w:r>
      <w:r w:rsidR="000525AB">
        <w:rPr>
          <w:b/>
          <w:bCs/>
        </w:rPr>
        <w:tab/>
      </w:r>
      <w:r w:rsidR="004E2A98" w:rsidRPr="00A17FA6">
        <w:rPr>
          <w:b/>
          <w:bCs/>
        </w:rPr>
        <w:t xml:space="preserve">Prioritise mental health </w:t>
      </w:r>
      <w:r w:rsidR="0040503A" w:rsidRPr="00A17FA6">
        <w:rPr>
          <w:b/>
          <w:bCs/>
        </w:rPr>
        <w:t>supports for young people in out of home care</w:t>
      </w:r>
      <w:bookmarkEnd w:id="2731"/>
      <w:bookmarkEnd w:id="2732"/>
      <w:bookmarkEnd w:id="2733"/>
    </w:p>
    <w:p w14:paraId="1DDEDEE7" w14:textId="70E1F968" w:rsidR="0040503A" w:rsidRPr="00A17FA6" w:rsidRDefault="0093664C" w:rsidP="00CB2A3F">
      <w:pPr>
        <w:shd w:val="clear" w:color="auto" w:fill="DEEAF6" w:themeFill="accent5" w:themeFillTint="33"/>
        <w:ind w:left="426"/>
      </w:pPr>
      <w:r w:rsidRPr="00A17FA6">
        <w:t xml:space="preserve">The Victorian government should </w:t>
      </w:r>
      <w:r w:rsidR="00381A7B" w:rsidRPr="00A17FA6">
        <w:t>ensure</w:t>
      </w:r>
      <w:r w:rsidR="006B0118" w:rsidRPr="00A17FA6">
        <w:t xml:space="preserve"> that </w:t>
      </w:r>
      <w:r w:rsidR="008A0D1E" w:rsidRPr="00A17FA6">
        <w:t xml:space="preserve">all children in </w:t>
      </w:r>
      <w:r w:rsidR="002022A2" w:rsidRPr="00A17FA6">
        <w:t xml:space="preserve">out of home care have access to </w:t>
      </w:r>
      <w:r w:rsidR="006B0118" w:rsidRPr="00A17FA6">
        <w:t>the</w:t>
      </w:r>
      <w:r w:rsidR="00DF4ABE" w:rsidRPr="00A17FA6">
        <w:t xml:space="preserve"> mental health supports they need</w:t>
      </w:r>
      <w:r w:rsidR="00CC5940" w:rsidRPr="00A17FA6">
        <w:t>, in recognition that c</w:t>
      </w:r>
      <w:r w:rsidR="00F50949" w:rsidRPr="00A17FA6">
        <w:t xml:space="preserve">hildren and young people in out of home care are some of Victoria’s most vulnerable </w:t>
      </w:r>
      <w:r w:rsidRPr="00A17FA6">
        <w:t xml:space="preserve">community members. </w:t>
      </w:r>
    </w:p>
    <w:p w14:paraId="0A1A11EC" w14:textId="77777777" w:rsidR="0040503A" w:rsidRDefault="0040503A" w:rsidP="00AC258C">
      <w:pPr>
        <w:pStyle w:val="Heading3"/>
      </w:pPr>
      <w:r>
        <w:t>Child protection responses to parents experiencing mental health issues</w:t>
      </w:r>
    </w:p>
    <w:p w14:paraId="798D67F3" w14:textId="23FFFB39" w:rsidR="00D25ACF" w:rsidRDefault="00812B2A" w:rsidP="0040503A">
      <w:pPr>
        <w:rPr>
          <w:rFonts w:cs="Arial"/>
        </w:rPr>
      </w:pPr>
      <w:r>
        <w:rPr>
          <w:lang w:eastAsia="en-AU"/>
        </w:rPr>
        <w:t xml:space="preserve">In our practice </w:t>
      </w:r>
      <w:r w:rsidR="00351F0F">
        <w:rPr>
          <w:lang w:eastAsia="en-AU"/>
        </w:rPr>
        <w:t xml:space="preserve">experience </w:t>
      </w:r>
      <w:r>
        <w:rPr>
          <w:lang w:eastAsia="en-AU"/>
        </w:rPr>
        <w:t>w</w:t>
      </w:r>
      <w:r w:rsidR="0040503A">
        <w:rPr>
          <w:lang w:eastAsia="en-AU"/>
        </w:rPr>
        <w:t xml:space="preserve">e </w:t>
      </w:r>
      <w:r>
        <w:rPr>
          <w:lang w:eastAsia="en-AU"/>
        </w:rPr>
        <w:t>also</w:t>
      </w:r>
      <w:r w:rsidR="0040503A">
        <w:rPr>
          <w:lang w:eastAsia="en-AU"/>
        </w:rPr>
        <w:t xml:space="preserve"> see assumptions being made about people’s capacity to parent due to current or former experiences of mental health issues. These assumptions can result </w:t>
      </w:r>
      <w:r w:rsidR="00506A68">
        <w:rPr>
          <w:lang w:eastAsia="en-AU"/>
        </w:rPr>
        <w:t xml:space="preserve">not only </w:t>
      </w:r>
      <w:r w:rsidR="0040503A">
        <w:rPr>
          <w:lang w:eastAsia="en-AU"/>
        </w:rPr>
        <w:t xml:space="preserve">in parents having children removed from their care </w:t>
      </w:r>
      <w:r w:rsidR="00506A68">
        <w:rPr>
          <w:lang w:eastAsia="en-AU"/>
        </w:rPr>
        <w:t>but also</w:t>
      </w:r>
      <w:r w:rsidR="00B051DF">
        <w:rPr>
          <w:lang w:eastAsia="en-AU"/>
        </w:rPr>
        <w:t xml:space="preserve"> </w:t>
      </w:r>
      <w:r w:rsidR="0040503A">
        <w:rPr>
          <w:lang w:eastAsia="en-AU"/>
        </w:rPr>
        <w:t xml:space="preserve">not </w:t>
      </w:r>
      <w:r w:rsidR="000550FE">
        <w:rPr>
          <w:lang w:eastAsia="en-AU"/>
        </w:rPr>
        <w:t>being</w:t>
      </w:r>
      <w:r w:rsidR="0040503A">
        <w:rPr>
          <w:lang w:eastAsia="en-AU"/>
        </w:rPr>
        <w:t xml:space="preserve"> supported to have contact with their children </w:t>
      </w:r>
      <w:r w:rsidR="006410BC">
        <w:rPr>
          <w:lang w:eastAsia="en-AU"/>
        </w:rPr>
        <w:t xml:space="preserve">or </w:t>
      </w:r>
      <w:r w:rsidR="006410BC">
        <w:rPr>
          <w:rFonts w:cs="Arial"/>
        </w:rPr>
        <w:t>be involved in decisions regarding their children’s care</w:t>
      </w:r>
      <w:r w:rsidR="006410BC">
        <w:rPr>
          <w:lang w:eastAsia="en-AU"/>
        </w:rPr>
        <w:t xml:space="preserve"> </w:t>
      </w:r>
      <w:r w:rsidR="0040503A">
        <w:rPr>
          <w:lang w:eastAsia="en-AU"/>
        </w:rPr>
        <w:t>during</w:t>
      </w:r>
      <w:r w:rsidR="00C113A4">
        <w:rPr>
          <w:lang w:eastAsia="en-AU"/>
        </w:rPr>
        <w:t xml:space="preserve"> the parents’</w:t>
      </w:r>
      <w:r w:rsidR="0040503A">
        <w:rPr>
          <w:lang w:eastAsia="en-AU"/>
        </w:rPr>
        <w:t xml:space="preserve"> inpatient admission</w:t>
      </w:r>
      <w:r w:rsidR="00C113A4">
        <w:rPr>
          <w:lang w:eastAsia="en-AU"/>
        </w:rPr>
        <w:t>s</w:t>
      </w:r>
      <w:r w:rsidR="000D29C6">
        <w:rPr>
          <w:lang w:eastAsia="en-AU"/>
        </w:rPr>
        <w:t>.</w:t>
      </w:r>
      <w:r w:rsidR="0040503A">
        <w:rPr>
          <w:lang w:eastAsia="en-AU"/>
        </w:rPr>
        <w:t xml:space="preserve"> </w:t>
      </w:r>
      <w:r w:rsidR="00351F0F">
        <w:rPr>
          <w:lang w:eastAsia="en-AU"/>
        </w:rPr>
        <w:t>Similarly, parents often do</w:t>
      </w:r>
      <w:r w:rsidR="0040503A">
        <w:rPr>
          <w:lang w:eastAsia="en-AU"/>
        </w:rPr>
        <w:t xml:space="preserve"> not </w:t>
      </w:r>
      <w:r w:rsidR="00351F0F">
        <w:rPr>
          <w:lang w:eastAsia="en-AU"/>
        </w:rPr>
        <w:t>receive</w:t>
      </w:r>
      <w:r w:rsidR="0040503A">
        <w:rPr>
          <w:lang w:eastAsia="en-AU"/>
        </w:rPr>
        <w:t xml:space="preserve"> adequate support </w:t>
      </w:r>
      <w:r w:rsidR="00351F0F">
        <w:rPr>
          <w:lang w:eastAsia="en-AU"/>
        </w:rPr>
        <w:t>to be reunified with their children</w:t>
      </w:r>
      <w:r w:rsidR="00351F0F">
        <w:rPr>
          <w:rFonts w:cs="Arial"/>
        </w:rPr>
        <w:t xml:space="preserve"> </w:t>
      </w:r>
      <w:r w:rsidR="0040503A">
        <w:rPr>
          <w:lang w:eastAsia="en-AU"/>
        </w:rPr>
        <w:t>when discharged</w:t>
      </w:r>
      <w:r w:rsidR="0040503A">
        <w:rPr>
          <w:rFonts w:cs="Arial"/>
        </w:rPr>
        <w:t>.</w:t>
      </w:r>
      <w:r w:rsidR="0040503A">
        <w:rPr>
          <w:rStyle w:val="FootnoteReference"/>
          <w:rFonts w:cs="Arial"/>
        </w:rPr>
        <w:footnoteReference w:id="130"/>
      </w:r>
      <w:r w:rsidR="0040503A">
        <w:rPr>
          <w:rFonts w:cs="Arial"/>
        </w:rPr>
        <w:t xml:space="preserve"> </w:t>
      </w:r>
    </w:p>
    <w:p w14:paraId="252E4195" w14:textId="5ED008CF" w:rsidR="0040503A" w:rsidRDefault="008067E5" w:rsidP="0040503A">
      <w:pPr>
        <w:rPr>
          <w:lang w:eastAsia="en-AU"/>
        </w:rPr>
      </w:pPr>
      <w:r>
        <w:rPr>
          <w:rFonts w:cs="Arial"/>
        </w:rPr>
        <w:t xml:space="preserve">Considering both </w:t>
      </w:r>
      <w:r w:rsidR="00E14205">
        <w:rPr>
          <w:rFonts w:cs="Arial"/>
        </w:rPr>
        <w:t xml:space="preserve">a child’s best interests and the </w:t>
      </w:r>
      <w:proofErr w:type="gramStart"/>
      <w:r w:rsidR="00E14205">
        <w:rPr>
          <w:rFonts w:cs="Arial"/>
        </w:rPr>
        <w:t>often episodic</w:t>
      </w:r>
      <w:proofErr w:type="gramEnd"/>
      <w:r w:rsidR="00E14205">
        <w:rPr>
          <w:rFonts w:cs="Arial"/>
        </w:rPr>
        <w:t xml:space="preserve"> nature of mental health issues, wherever appropriate</w:t>
      </w:r>
      <w:r w:rsidR="00411B57">
        <w:rPr>
          <w:rFonts w:cs="Arial"/>
        </w:rPr>
        <w:t>,</w:t>
      </w:r>
      <w:r w:rsidR="00E14205">
        <w:rPr>
          <w:rFonts w:cs="Arial"/>
        </w:rPr>
        <w:t xml:space="preserve"> f</w:t>
      </w:r>
      <w:r w:rsidR="0040503A" w:rsidRPr="00BB7A80">
        <w:rPr>
          <w:rFonts w:cs="Arial"/>
        </w:rPr>
        <w:t>amilies should be supported to remain together as a family unit</w:t>
      </w:r>
      <w:r w:rsidR="0040503A">
        <w:rPr>
          <w:rFonts w:cs="Arial"/>
        </w:rPr>
        <w:t xml:space="preserve"> </w:t>
      </w:r>
      <w:r w:rsidR="00E14205">
        <w:rPr>
          <w:rFonts w:cs="Arial"/>
        </w:rPr>
        <w:t>in accordance with the Charter and Victoria’s child protection legislation.</w:t>
      </w:r>
      <w:r w:rsidR="0040503A">
        <w:rPr>
          <w:rFonts w:cs="Arial"/>
        </w:rPr>
        <w:t xml:space="preserve"> </w:t>
      </w:r>
      <w:r w:rsidR="00E14205">
        <w:rPr>
          <w:rFonts w:cs="Arial"/>
        </w:rPr>
        <w:t>C</w:t>
      </w:r>
      <w:r w:rsidR="0040503A" w:rsidRPr="00BB7A80">
        <w:rPr>
          <w:rFonts w:cs="Arial"/>
        </w:rPr>
        <w:t xml:space="preserve">hild protection and mental health services </w:t>
      </w:r>
      <w:r w:rsidR="00F11D92">
        <w:rPr>
          <w:rFonts w:cs="Arial"/>
        </w:rPr>
        <w:t xml:space="preserve">should </w:t>
      </w:r>
      <w:r w:rsidR="0040503A" w:rsidRPr="00BB7A80">
        <w:rPr>
          <w:rFonts w:cs="Arial"/>
        </w:rPr>
        <w:t>work together to understand on what basis</w:t>
      </w:r>
      <w:r w:rsidR="00705AA0">
        <w:rPr>
          <w:rFonts w:cs="Arial"/>
        </w:rPr>
        <w:t>, if any,</w:t>
      </w:r>
      <w:r w:rsidR="0040503A" w:rsidRPr="00BB7A80">
        <w:rPr>
          <w:rFonts w:cs="Arial"/>
        </w:rPr>
        <w:t xml:space="preserve"> a mental health issue may present a current or future risk of abuse or neglect </w:t>
      </w:r>
      <w:r w:rsidR="00F11D92">
        <w:rPr>
          <w:rFonts w:cs="Arial"/>
        </w:rPr>
        <w:t xml:space="preserve">to the child, </w:t>
      </w:r>
      <w:r w:rsidR="0040503A" w:rsidRPr="00BB7A80">
        <w:rPr>
          <w:rFonts w:cs="Arial"/>
        </w:rPr>
        <w:t>and then determin</w:t>
      </w:r>
      <w:r w:rsidR="00F11D92">
        <w:rPr>
          <w:rFonts w:cs="Arial"/>
        </w:rPr>
        <w:t>e</w:t>
      </w:r>
      <w:r w:rsidR="0040503A" w:rsidRPr="00BB7A80">
        <w:rPr>
          <w:rFonts w:cs="Arial"/>
        </w:rPr>
        <w:t xml:space="preserve"> what services could be put in place to support the </w:t>
      </w:r>
      <w:r w:rsidR="0040503A">
        <w:rPr>
          <w:rFonts w:cs="Arial"/>
        </w:rPr>
        <w:t xml:space="preserve">family including the </w:t>
      </w:r>
      <w:r w:rsidR="0040503A" w:rsidRPr="00BB7A80">
        <w:rPr>
          <w:rFonts w:cs="Arial"/>
        </w:rPr>
        <w:t>parent</w:t>
      </w:r>
      <w:r w:rsidR="00411B57">
        <w:rPr>
          <w:rFonts w:cs="Arial"/>
        </w:rPr>
        <w:t xml:space="preserve"> </w:t>
      </w:r>
      <w:r w:rsidR="0040503A" w:rsidRPr="00BB7A80">
        <w:rPr>
          <w:rFonts w:cs="Arial"/>
        </w:rPr>
        <w:t>and</w:t>
      </w:r>
      <w:r w:rsidR="00411B57">
        <w:rPr>
          <w:rFonts w:cs="Arial"/>
        </w:rPr>
        <w:t>,</w:t>
      </w:r>
      <w:r w:rsidR="0040503A" w:rsidRPr="00BB7A80">
        <w:rPr>
          <w:rFonts w:cs="Arial"/>
        </w:rPr>
        <w:t xml:space="preserve"> where relevant</w:t>
      </w:r>
      <w:r w:rsidR="005E4B5A">
        <w:rPr>
          <w:rFonts w:cs="Arial"/>
        </w:rPr>
        <w:t>,</w:t>
      </w:r>
      <w:r w:rsidR="0040503A" w:rsidRPr="00BB7A80">
        <w:rPr>
          <w:rFonts w:cs="Arial"/>
        </w:rPr>
        <w:t xml:space="preserve"> children</w:t>
      </w:r>
      <w:r w:rsidR="005E4B5A">
        <w:rPr>
          <w:rFonts w:cs="Arial"/>
        </w:rPr>
        <w:t xml:space="preserve"> to </w:t>
      </w:r>
      <w:r w:rsidR="00FC41C3">
        <w:rPr>
          <w:rFonts w:cs="Arial"/>
        </w:rPr>
        <w:t xml:space="preserve">give the </w:t>
      </w:r>
      <w:r w:rsidR="004E5D96">
        <w:rPr>
          <w:rFonts w:cs="Arial"/>
        </w:rPr>
        <w:t>b</w:t>
      </w:r>
      <w:r w:rsidR="00FC41C3">
        <w:rPr>
          <w:rFonts w:cs="Arial"/>
        </w:rPr>
        <w:t xml:space="preserve">est opportunity for </w:t>
      </w:r>
      <w:r w:rsidR="005E4B5A">
        <w:rPr>
          <w:rFonts w:cs="Arial"/>
        </w:rPr>
        <w:t>family preservation</w:t>
      </w:r>
      <w:r w:rsidR="00E117B9">
        <w:rPr>
          <w:rFonts w:cs="Arial"/>
        </w:rPr>
        <w:t xml:space="preserve"> rather than child removal</w:t>
      </w:r>
      <w:r w:rsidR="0040503A" w:rsidRPr="00BB7A80">
        <w:rPr>
          <w:rFonts w:cs="Arial"/>
        </w:rPr>
        <w:t>.</w:t>
      </w:r>
    </w:p>
    <w:p w14:paraId="7A96C977" w14:textId="15FC68AA" w:rsidR="0040503A" w:rsidRPr="00A17FA6" w:rsidRDefault="00A17FA6" w:rsidP="00CB2A3F">
      <w:pPr>
        <w:shd w:val="clear" w:color="auto" w:fill="DEEAF6" w:themeFill="accent5" w:themeFillTint="33"/>
        <w:spacing w:line="240" w:lineRule="auto"/>
        <w:ind w:left="3119" w:hanging="2693"/>
      </w:pPr>
      <w:bookmarkStart w:id="2734" w:name="_Toc41325419"/>
      <w:bookmarkStart w:id="2735" w:name="_Toc41332828"/>
      <w:bookmarkStart w:id="2736" w:name="_Toc41412005"/>
      <w:r w:rsidRPr="00B9060C">
        <w:rPr>
          <w:b/>
          <w:bCs/>
        </w:rPr>
        <w:t xml:space="preserve">Recommendation </w:t>
      </w:r>
      <w:r>
        <w:rPr>
          <w:b/>
          <w:bCs/>
        </w:rPr>
        <w:t xml:space="preserve">38: </w:t>
      </w:r>
      <w:r w:rsidR="000525AB">
        <w:rPr>
          <w:b/>
          <w:bCs/>
        </w:rPr>
        <w:tab/>
      </w:r>
      <w:r w:rsidR="00DD02EB" w:rsidRPr="00A17FA6">
        <w:rPr>
          <w:b/>
          <w:bCs/>
        </w:rPr>
        <w:t>Support mental health needs to keep children with their families wherever possible</w:t>
      </w:r>
      <w:bookmarkEnd w:id="2734"/>
      <w:r w:rsidR="00DD02EB" w:rsidRPr="00A17FA6">
        <w:rPr>
          <w:b/>
          <w:bCs/>
        </w:rPr>
        <w:t xml:space="preserve"> </w:t>
      </w:r>
      <w:bookmarkEnd w:id="2735"/>
      <w:bookmarkEnd w:id="2736"/>
    </w:p>
    <w:p w14:paraId="5415CB91" w14:textId="0DC79B38" w:rsidR="0040503A" w:rsidRPr="00A17FA6" w:rsidRDefault="000B2074" w:rsidP="00CB2A3F">
      <w:pPr>
        <w:shd w:val="clear" w:color="auto" w:fill="DEEAF6" w:themeFill="accent5" w:themeFillTint="33"/>
        <w:ind w:left="426"/>
      </w:pPr>
      <w:r w:rsidRPr="00A17FA6">
        <w:t xml:space="preserve">The Victorian </w:t>
      </w:r>
      <w:r w:rsidR="0001401B" w:rsidRPr="00A17FA6">
        <w:t>g</w:t>
      </w:r>
      <w:r w:rsidRPr="00A17FA6">
        <w:t xml:space="preserve">overnment should provide clear guidance to </w:t>
      </w:r>
      <w:r w:rsidR="00843A20" w:rsidRPr="00A17FA6">
        <w:t xml:space="preserve">improve </w:t>
      </w:r>
      <w:r w:rsidRPr="00A17FA6">
        <w:t>the child protection system</w:t>
      </w:r>
      <w:r w:rsidR="00843A20" w:rsidRPr="00A17FA6">
        <w:t>’s</w:t>
      </w:r>
      <w:r w:rsidRPr="00A17FA6">
        <w:t xml:space="preserve"> response to families where a parent or child is experiencing mental health issues, including greater access to mental health support services for vulnerable families.</w:t>
      </w:r>
    </w:p>
    <w:p w14:paraId="448DAF12" w14:textId="317C1E0D" w:rsidR="0040503A" w:rsidRDefault="0040503A" w:rsidP="0040503A">
      <w:pPr>
        <w:pStyle w:val="Heading2"/>
      </w:pPr>
      <w:bookmarkStart w:id="2737" w:name="_Toc41651971"/>
      <w:r>
        <w:lastRenderedPageBreak/>
        <w:t>Prevent the use of Family Violence Intervention orders as a response to children experiencing a mental health crisis</w:t>
      </w:r>
      <w:bookmarkEnd w:id="2737"/>
    </w:p>
    <w:p w14:paraId="0A821976" w14:textId="77777777" w:rsidR="0040503A" w:rsidRDefault="0040503A" w:rsidP="0040503A">
      <w:pPr>
        <w:rPr>
          <w:lang w:eastAsia="en-AU"/>
        </w:rPr>
      </w:pPr>
      <w:r>
        <w:rPr>
          <w:lang w:eastAsia="en-AU"/>
        </w:rPr>
        <w:t>Adolescent family violence is a distinct phenomenon to adult-perpetrated intimate partner violence and requires a distinct response, including recognising that the adolescent may themselves also be a victim of family violence. Research has found that childhood trauma is a major contributor to adolescent’s use of violence in the home, yet our family violence court system does not systematically record or respond to this.</w:t>
      </w:r>
      <w:r>
        <w:rPr>
          <w:rStyle w:val="FootnoteReference"/>
          <w:lang w:eastAsia="en-AU"/>
        </w:rPr>
        <w:footnoteReference w:id="131"/>
      </w:r>
      <w:r>
        <w:rPr>
          <w:lang w:eastAsia="en-AU"/>
        </w:rPr>
        <w:t xml:space="preserve"> </w:t>
      </w:r>
    </w:p>
    <w:p w14:paraId="3C178821" w14:textId="77777777" w:rsidR="0040503A" w:rsidRDefault="0040503A" w:rsidP="0040503A">
      <w:pPr>
        <w:rPr>
          <w:lang w:eastAsia="en-AU"/>
        </w:rPr>
      </w:pPr>
      <w:r w:rsidRPr="005015E3">
        <w:rPr>
          <w:lang w:eastAsia="en-AU"/>
        </w:rPr>
        <w:t>Children caught up in the family violence court system may have undiagnosed mental health issues</w:t>
      </w:r>
      <w:r>
        <w:rPr>
          <w:lang w:eastAsia="en-AU"/>
        </w:rPr>
        <w:t xml:space="preserve"> </w:t>
      </w:r>
      <w:r w:rsidRPr="005015E3">
        <w:rPr>
          <w:lang w:eastAsia="en-AU"/>
        </w:rPr>
        <w:t>driving their behaviour but not previously identified or addressed.</w:t>
      </w:r>
      <w:r w:rsidRPr="005015E3">
        <w:rPr>
          <w:vertAlign w:val="superscript"/>
          <w:lang w:eastAsia="en-AU"/>
        </w:rPr>
        <w:footnoteReference w:id="132"/>
      </w:r>
      <w:r w:rsidRPr="005015E3">
        <w:rPr>
          <w:lang w:eastAsia="en-AU"/>
        </w:rPr>
        <w:t xml:space="preserve"> These young people will often be ordered to comply with a Family Violence Intervention Order (</w:t>
      </w:r>
      <w:r w:rsidRPr="005015E3">
        <w:rPr>
          <w:b/>
          <w:bCs/>
          <w:lang w:eastAsia="en-AU"/>
        </w:rPr>
        <w:t>FVIO</w:t>
      </w:r>
      <w:r w:rsidRPr="005015E3">
        <w:rPr>
          <w:lang w:eastAsia="en-AU"/>
        </w:rPr>
        <w:t>), which could exclude them from their home, putting them at risk of becoming involved in the criminal justice system if they are later charged with breaching the FVIO.</w:t>
      </w:r>
    </w:p>
    <w:p w14:paraId="6DCE1FAB" w14:textId="283420B7" w:rsidR="0040503A" w:rsidRPr="001028B6" w:rsidRDefault="00A17FA6" w:rsidP="00CB2A3F">
      <w:pPr>
        <w:shd w:val="clear" w:color="auto" w:fill="DEEAF6" w:themeFill="accent5" w:themeFillTint="33"/>
        <w:spacing w:line="240" w:lineRule="auto"/>
        <w:ind w:left="3119" w:hanging="2693"/>
      </w:pPr>
      <w:bookmarkStart w:id="2738" w:name="_Toc41325421"/>
      <w:bookmarkStart w:id="2739" w:name="_Toc41332830"/>
      <w:bookmarkStart w:id="2740" w:name="_Toc41412006"/>
      <w:r w:rsidRPr="00B9060C">
        <w:rPr>
          <w:b/>
          <w:bCs/>
        </w:rPr>
        <w:t xml:space="preserve">Recommendation </w:t>
      </w:r>
      <w:r>
        <w:rPr>
          <w:b/>
          <w:bCs/>
        </w:rPr>
        <w:t xml:space="preserve">39: </w:t>
      </w:r>
      <w:r w:rsidR="000525AB">
        <w:rPr>
          <w:b/>
          <w:bCs/>
        </w:rPr>
        <w:tab/>
      </w:r>
      <w:r w:rsidR="0040503A" w:rsidRPr="00A17FA6">
        <w:rPr>
          <w:b/>
          <w:bCs/>
        </w:rPr>
        <w:t xml:space="preserve">Implement expert recommendations </w:t>
      </w:r>
      <w:r w:rsidR="003A6C99" w:rsidRPr="00A17FA6">
        <w:rPr>
          <w:b/>
          <w:bCs/>
        </w:rPr>
        <w:t>to respond appropriately to vulnerable young people’s behaviours in the home</w:t>
      </w:r>
      <w:bookmarkEnd w:id="2738"/>
      <w:bookmarkEnd w:id="2739"/>
      <w:bookmarkEnd w:id="2740"/>
    </w:p>
    <w:p w14:paraId="17A1E07B" w14:textId="77777777" w:rsidR="0040503A" w:rsidRPr="00A17FA6" w:rsidRDefault="0040503A" w:rsidP="00CB2A3F">
      <w:pPr>
        <w:shd w:val="clear" w:color="auto" w:fill="DEEAF6" w:themeFill="accent5" w:themeFillTint="33"/>
        <w:ind w:left="709" w:hanging="283"/>
      </w:pPr>
      <w:r w:rsidRPr="00A17FA6">
        <w:t xml:space="preserve">The Victorian Government should implement and adequately resource: </w:t>
      </w:r>
    </w:p>
    <w:p w14:paraId="482F45E3" w14:textId="35854208" w:rsidR="000525AB" w:rsidRPr="00A17FA6" w:rsidRDefault="000525AB" w:rsidP="00984FB7">
      <w:pPr>
        <w:pStyle w:val="ListParagraph"/>
        <w:numPr>
          <w:ilvl w:val="0"/>
          <w:numId w:val="31"/>
        </w:numPr>
        <w:shd w:val="clear" w:color="auto" w:fill="DEEAF6" w:themeFill="accent5" w:themeFillTint="33"/>
        <w:ind w:hanging="294"/>
      </w:pPr>
      <w:r w:rsidRPr="00A17FA6">
        <w:t xml:space="preserve"> </w:t>
      </w:r>
      <w:r w:rsidR="0040503A" w:rsidRPr="00A17FA6">
        <w:t xml:space="preserve">123 to 128 from the </w:t>
      </w:r>
      <w:r w:rsidR="0040503A" w:rsidRPr="00CB2A3F">
        <w:t>Royal Commission into Family Violence</w:t>
      </w:r>
      <w:r w:rsidR="0040503A" w:rsidRPr="00A17FA6">
        <w:t xml:space="preserve"> for establishing a specialised response for adolescents; and</w:t>
      </w:r>
    </w:p>
    <w:p w14:paraId="44407811" w14:textId="5442F98F" w:rsidR="0040503A" w:rsidRPr="00CB2A3F" w:rsidRDefault="0040503A" w:rsidP="00984FB7">
      <w:pPr>
        <w:pStyle w:val="ListParagraph"/>
        <w:numPr>
          <w:ilvl w:val="0"/>
          <w:numId w:val="31"/>
        </w:numPr>
        <w:shd w:val="clear" w:color="auto" w:fill="DEEAF6" w:themeFill="accent5" w:themeFillTint="33"/>
        <w:ind w:hanging="294"/>
      </w:pPr>
      <w:r w:rsidRPr="00A17FA6">
        <w:t>key recommendations of the PIPA project: Positive Interventions for Perpetrators of Adolescent violence in the home report (2020).</w:t>
      </w:r>
      <w:r w:rsidR="000525AB">
        <w:rPr>
          <w:rStyle w:val="FootnoteReference"/>
        </w:rPr>
        <w:footnoteReference w:id="133"/>
      </w:r>
    </w:p>
    <w:p w14:paraId="7B077CD6" w14:textId="5939D8A3" w:rsidR="00647833" w:rsidRDefault="00647833" w:rsidP="0040503A">
      <w:pPr>
        <w:pStyle w:val="Heading2"/>
      </w:pPr>
      <w:bookmarkStart w:id="2741" w:name="_Toc41651972"/>
      <w:r>
        <w:t>Age appropriate responses to reduce entry and entrenchment in the criminal system</w:t>
      </w:r>
      <w:bookmarkEnd w:id="2741"/>
      <w:r>
        <w:t xml:space="preserve"> </w:t>
      </w:r>
    </w:p>
    <w:p w14:paraId="7141A2A3" w14:textId="77777777" w:rsidR="0040503A" w:rsidRPr="00BB235C" w:rsidRDefault="0040503A" w:rsidP="003A7BD2">
      <w:pPr>
        <w:pStyle w:val="Heading3"/>
      </w:pPr>
      <w:r w:rsidRPr="00BB235C">
        <w:t>Rais</w:t>
      </w:r>
      <w:r>
        <w:t>e</w:t>
      </w:r>
      <w:r w:rsidRPr="00BB235C">
        <w:t xml:space="preserve"> the </w:t>
      </w:r>
      <w:r>
        <w:t xml:space="preserve">minimum </w:t>
      </w:r>
      <w:r w:rsidRPr="00BB235C">
        <w:t xml:space="preserve">age of criminal responsibility </w:t>
      </w:r>
    </w:p>
    <w:p w14:paraId="7E0945EA" w14:textId="77777777" w:rsidR="0040503A" w:rsidRDefault="0040503A" w:rsidP="0040503A">
      <w:r>
        <w:t>In Australia, the minimum age a child can be found guilty of committing a crime is ten years old. Most similar jurisdictions set a minimum age of at least 14 years old, which is consistent with international human rights law. Peak bodies for doctors, psychologists and lawyers agree that children under 14 do not have the maturity to be held criminally responsible for their actions.</w:t>
      </w:r>
      <w:r>
        <w:rPr>
          <w:rStyle w:val="FootnoteReference"/>
        </w:rPr>
        <w:footnoteReference w:id="134"/>
      </w:r>
    </w:p>
    <w:p w14:paraId="44CC2834" w14:textId="7D02D7C9" w:rsidR="0040503A" w:rsidRDefault="0040503A" w:rsidP="0040503A">
      <w:r>
        <w:t>Most children in the youth justice system have experienced serious trauma and early life stresses such as abuse or neglect,</w:t>
      </w:r>
      <w:r>
        <w:rPr>
          <w:rStyle w:val="FootnoteReference"/>
        </w:rPr>
        <w:footnoteReference w:id="135"/>
      </w:r>
      <w:r>
        <w:t xml:space="preserve"> as well as mental health issues and cognitive impairment.</w:t>
      </w:r>
      <w:r>
        <w:rPr>
          <w:rStyle w:val="FootnoteReference"/>
        </w:rPr>
        <w:footnoteReference w:id="136"/>
      </w:r>
      <w:r>
        <w:t xml:space="preserve"> Children </w:t>
      </w:r>
      <w:r w:rsidRPr="003D6082">
        <w:t>in the youth justice system have</w:t>
      </w:r>
      <w:r>
        <w:t>:</w:t>
      </w:r>
      <w:r w:rsidRPr="003D6082">
        <w:t xml:space="preserve"> </w:t>
      </w:r>
      <w:r w:rsidR="00411B57">
        <w:t>‘</w:t>
      </w:r>
      <w:r w:rsidRPr="002D5178">
        <w:t xml:space="preserve">significantly higher rates of mental health disorders and cognitive </w:t>
      </w:r>
      <w:r w:rsidRPr="002D5178">
        <w:lastRenderedPageBreak/>
        <w:t>disabilities when compared with general youth populations</w:t>
      </w:r>
      <w:r w:rsidR="00411B57">
        <w:t>’</w:t>
      </w:r>
      <w:r>
        <w:t>.</w:t>
      </w:r>
      <w:r>
        <w:rPr>
          <w:rStyle w:val="FootnoteReference"/>
        </w:rPr>
        <w:footnoteReference w:id="137"/>
      </w:r>
      <w:r w:rsidRPr="002D5178">
        <w:t xml:space="preserve"> </w:t>
      </w:r>
      <w:r>
        <w:t>They are also</w:t>
      </w:r>
      <w:r w:rsidRPr="00091861">
        <w:t xml:space="preserve"> </w:t>
      </w:r>
      <w:r>
        <w:t xml:space="preserve">more </w:t>
      </w:r>
      <w:r w:rsidRPr="002D5178">
        <w:t xml:space="preserve">likely to </w:t>
      </w:r>
      <w:r>
        <w:t>have</w:t>
      </w:r>
      <w:r w:rsidRPr="00091861">
        <w:t xml:space="preserve"> </w:t>
      </w:r>
      <w:r w:rsidRPr="002D5178">
        <w:t xml:space="preserve">a range of other co-occurring </w:t>
      </w:r>
      <w:r w:rsidR="00D364D3">
        <w:t>issues</w:t>
      </w:r>
      <w:r>
        <w:t xml:space="preserve">, including </w:t>
      </w:r>
      <w:r w:rsidR="00740405">
        <w:t>attention deficit hyperactivity disorder</w:t>
      </w:r>
      <w:r w:rsidRPr="002D5178">
        <w:t>, autism spectrum disorder, Foetal Alco</w:t>
      </w:r>
      <w:r>
        <w:t xml:space="preserve">hol Spectrum Disorder, </w:t>
      </w:r>
      <w:r w:rsidR="00B54E72">
        <w:t>ABI</w:t>
      </w:r>
      <w:r>
        <w:t xml:space="preserve"> and </w:t>
      </w:r>
      <w:r w:rsidR="00D364D3">
        <w:t xml:space="preserve">problematic </w:t>
      </w:r>
      <w:r>
        <w:t>d</w:t>
      </w:r>
      <w:r w:rsidRPr="002D5178">
        <w:t xml:space="preserve">rug or alcohol </w:t>
      </w:r>
      <w:r w:rsidR="00D364D3">
        <w:t>use</w:t>
      </w:r>
      <w:r>
        <w:t>.</w:t>
      </w:r>
      <w:r>
        <w:rPr>
          <w:rStyle w:val="FootnoteReference"/>
        </w:rPr>
        <w:footnoteReference w:id="138"/>
      </w:r>
    </w:p>
    <w:p w14:paraId="672F3904" w14:textId="77777777" w:rsidR="0040503A" w:rsidRPr="00BB7A80" w:rsidRDefault="0040503A" w:rsidP="0040503A">
      <w:pPr>
        <w:rPr>
          <w:i/>
        </w:rPr>
      </w:pPr>
      <w:r>
        <w:t>T</w:t>
      </w:r>
      <w:r w:rsidRPr="00A72F5B">
        <w:t xml:space="preserve">he likelihood of a child </w:t>
      </w:r>
      <w:r w:rsidRPr="00BB7A80">
        <w:rPr>
          <w:lang w:val="en"/>
        </w:rPr>
        <w:t>progressing from the Children’s Court to the adult criminal jurisdiction is associated with their age at ‘entry’ into the criminal courts. The younger a child is at their first sentence, the more likely they are to reoffend generally, reoffend more frequently, reoffend violently, continue offending and be sentenced to an adult sentence of imprisonment before their twenty-second birthday.</w:t>
      </w:r>
      <w:r>
        <w:rPr>
          <w:rStyle w:val="FootnoteReference"/>
        </w:rPr>
        <w:footnoteReference w:id="139"/>
      </w:r>
      <w:r w:rsidRPr="00A72F5B">
        <w:t xml:space="preserve"> </w:t>
      </w:r>
    </w:p>
    <w:p w14:paraId="598590C4" w14:textId="321D909A" w:rsidR="0040503A" w:rsidRPr="00554841" w:rsidRDefault="00A17FA6" w:rsidP="00CB2A3F">
      <w:pPr>
        <w:shd w:val="clear" w:color="auto" w:fill="DEEAF6" w:themeFill="accent5" w:themeFillTint="33"/>
        <w:ind w:left="426"/>
      </w:pPr>
      <w:bookmarkStart w:id="2742" w:name="_Toc41325422"/>
      <w:bookmarkStart w:id="2743" w:name="_Toc41332831"/>
      <w:bookmarkStart w:id="2744" w:name="_Toc41412008"/>
      <w:r w:rsidRPr="00B9060C">
        <w:rPr>
          <w:b/>
          <w:bCs/>
        </w:rPr>
        <w:t xml:space="preserve">Recommendation </w:t>
      </w:r>
      <w:r>
        <w:rPr>
          <w:b/>
          <w:bCs/>
        </w:rPr>
        <w:t xml:space="preserve">40: </w:t>
      </w:r>
      <w:r w:rsidR="000525AB">
        <w:rPr>
          <w:b/>
          <w:bCs/>
        </w:rPr>
        <w:tab/>
      </w:r>
      <w:r w:rsidR="0040503A" w:rsidRPr="00A17FA6">
        <w:rPr>
          <w:b/>
          <w:bCs/>
        </w:rPr>
        <w:t>Raise the minimum age of criminal responsibility</w:t>
      </w:r>
      <w:bookmarkEnd w:id="2742"/>
      <w:bookmarkEnd w:id="2743"/>
      <w:bookmarkEnd w:id="2744"/>
      <w:r w:rsidR="0040503A" w:rsidRPr="001028B6">
        <w:t xml:space="preserve"> </w:t>
      </w:r>
    </w:p>
    <w:p w14:paraId="740F9481" w14:textId="77777777" w:rsidR="0040503A" w:rsidRPr="00A17FA6" w:rsidRDefault="0040503A" w:rsidP="00CB2A3F">
      <w:pPr>
        <w:shd w:val="clear" w:color="auto" w:fill="DEEAF6" w:themeFill="accent5" w:themeFillTint="33"/>
        <w:ind w:left="426"/>
      </w:pPr>
      <w:r w:rsidRPr="00A17FA6">
        <w:t>The Victorian Government should raise the minimum age of criminal responsibility to 14, to link young children into treatment and support to recover, rather than become entrenched in the criminal justice system.</w:t>
      </w:r>
    </w:p>
    <w:p w14:paraId="372C4328" w14:textId="7F814EE2" w:rsidR="00EE755F" w:rsidRDefault="00F41AD0" w:rsidP="00647833">
      <w:pPr>
        <w:pStyle w:val="Heading3"/>
      </w:pPr>
      <w:bookmarkStart w:id="2745" w:name="_Hlk41408807"/>
      <w:r>
        <w:t>Recovery focused</w:t>
      </w:r>
      <w:r w:rsidR="00647833">
        <w:t xml:space="preserve"> youth</w:t>
      </w:r>
      <w:r w:rsidR="002C6144">
        <w:t xml:space="preserve"> justice responses</w:t>
      </w:r>
    </w:p>
    <w:p w14:paraId="0687408F" w14:textId="56347E75" w:rsidR="00306D96" w:rsidRDefault="007E358E" w:rsidP="00BD0162">
      <w:r>
        <w:t xml:space="preserve">In </w:t>
      </w:r>
      <w:r w:rsidRPr="00264317">
        <w:rPr>
          <w:i/>
          <w:iCs/>
        </w:rPr>
        <w:t>Roads to Recovery</w:t>
      </w:r>
      <w:r>
        <w:t xml:space="preserve">, we highlighted the </w:t>
      </w:r>
      <w:r w:rsidR="00F33C27">
        <w:t xml:space="preserve">paucity of mental health services </w:t>
      </w:r>
      <w:r w:rsidR="0072297C">
        <w:t>within</w:t>
      </w:r>
      <w:r w:rsidR="00F33C27">
        <w:t xml:space="preserve"> the youth justice system </w:t>
      </w:r>
      <w:r w:rsidR="00306D96">
        <w:t xml:space="preserve">which </w:t>
      </w:r>
      <w:r w:rsidR="005E73BC">
        <w:t>manifests in</w:t>
      </w:r>
      <w:r w:rsidR="005E73BC">
        <w:rPr>
          <w:rFonts w:cs="Arial"/>
        </w:rPr>
        <w:t xml:space="preserve"> </w:t>
      </w:r>
      <w:r w:rsidR="005E73BC" w:rsidRPr="006D12C7">
        <w:rPr>
          <w:rFonts w:cs="Arial"/>
        </w:rPr>
        <w:t xml:space="preserve">delays in assessment and screening for mental health issues </w:t>
      </w:r>
      <w:r w:rsidR="005E73BC">
        <w:rPr>
          <w:rFonts w:cs="Arial"/>
        </w:rPr>
        <w:t xml:space="preserve">at entry </w:t>
      </w:r>
      <w:r w:rsidR="005E73BC" w:rsidRPr="006D12C7">
        <w:rPr>
          <w:rFonts w:cs="Arial"/>
        </w:rPr>
        <w:t>into custod</w:t>
      </w:r>
      <w:r w:rsidR="005E73BC">
        <w:rPr>
          <w:rFonts w:cs="Arial"/>
        </w:rPr>
        <w:t>y</w:t>
      </w:r>
      <w:r w:rsidR="00B14813">
        <w:rPr>
          <w:rFonts w:cs="Arial"/>
        </w:rPr>
        <w:t>, and</w:t>
      </w:r>
      <w:r w:rsidR="005E73BC">
        <w:rPr>
          <w:rFonts w:cs="Arial"/>
        </w:rPr>
        <w:t xml:space="preserve"> insufficient </w:t>
      </w:r>
      <w:r w:rsidR="005E73BC">
        <w:t>access to mental health care in custody</w:t>
      </w:r>
      <w:r w:rsidR="00973944">
        <w:t>. In our current system, children</w:t>
      </w:r>
      <w:r w:rsidR="00A94F73">
        <w:t xml:space="preserve"> </w:t>
      </w:r>
      <w:r w:rsidR="005E73BC">
        <w:t xml:space="preserve">experiencing </w:t>
      </w:r>
      <w:r w:rsidR="00037F94" w:rsidRPr="0024426A">
        <w:t xml:space="preserve">mental health issues </w:t>
      </w:r>
      <w:r w:rsidR="00973944">
        <w:t>are</w:t>
      </w:r>
      <w:r w:rsidR="00037F94" w:rsidRPr="0024426A">
        <w:t xml:space="preserve"> </w:t>
      </w:r>
      <w:r w:rsidR="00037F94">
        <w:t>placed in</w:t>
      </w:r>
      <w:r w:rsidR="00037F94" w:rsidRPr="0024426A">
        <w:t xml:space="preserve"> more restrictive settings or </w:t>
      </w:r>
      <w:r w:rsidR="00973944">
        <w:t>sub</w:t>
      </w:r>
      <w:r w:rsidR="00037F94" w:rsidRPr="0024426A">
        <w:t>ject</w:t>
      </w:r>
      <w:r w:rsidR="00973944">
        <w:t>ed</w:t>
      </w:r>
      <w:r w:rsidR="00037F94" w:rsidRPr="0024426A">
        <w:t xml:space="preserve"> to highly restrictive management conditions</w:t>
      </w:r>
      <w:r w:rsidR="00C858AB">
        <w:t>.</w:t>
      </w:r>
      <w:r w:rsidR="0085730E">
        <w:rPr>
          <w:rStyle w:val="FootnoteReference"/>
        </w:rPr>
        <w:footnoteReference w:id="140"/>
      </w:r>
      <w:r w:rsidR="00C858AB">
        <w:t xml:space="preserve"> </w:t>
      </w:r>
    </w:p>
    <w:p w14:paraId="4BB63B03" w14:textId="1ECEE771" w:rsidR="00A32EFA" w:rsidRDefault="00801F7A">
      <w:r>
        <w:t xml:space="preserve">The </w:t>
      </w:r>
      <w:r w:rsidR="007E358E">
        <w:t>recently released</w:t>
      </w:r>
      <w:r>
        <w:t xml:space="preserve"> Youth Justice Strategic Plan 2020-2030 </w:t>
      </w:r>
      <w:r w:rsidR="00070547">
        <w:t xml:space="preserve">makes several commitments which, if implemented, would dramatically improve </w:t>
      </w:r>
      <w:r w:rsidR="00A32EFA">
        <w:t>mental health services for children in the youth justice system.</w:t>
      </w:r>
      <w:r w:rsidR="004572FA">
        <w:rPr>
          <w:rStyle w:val="FootnoteReference"/>
        </w:rPr>
        <w:footnoteReference w:id="141"/>
      </w:r>
      <w:r w:rsidR="00A32EFA">
        <w:t xml:space="preserve"> It commits to: </w:t>
      </w:r>
    </w:p>
    <w:p w14:paraId="68086338" w14:textId="1EC228F0" w:rsidR="00D17AC6" w:rsidRDefault="00946520" w:rsidP="00984FB7">
      <w:pPr>
        <w:pStyle w:val="ListParagraph"/>
        <w:numPr>
          <w:ilvl w:val="0"/>
          <w:numId w:val="15"/>
        </w:numPr>
        <w:spacing w:after="60"/>
        <w:ind w:left="714" w:hanging="357"/>
        <w:contextualSpacing w:val="0"/>
      </w:pPr>
      <w:r>
        <w:t>a</w:t>
      </w:r>
      <w:r w:rsidR="00A32EFA">
        <w:t xml:space="preserve"> </w:t>
      </w:r>
      <w:r w:rsidR="00D17AC6">
        <w:t>Community Forensic Youth Mental Health Service</w:t>
      </w:r>
      <w:r w:rsidR="001C6D63">
        <w:t xml:space="preserve"> to support early intervention services for at risk young people</w:t>
      </w:r>
      <w:r>
        <w:t>;</w:t>
      </w:r>
    </w:p>
    <w:p w14:paraId="2F836032" w14:textId="19A94A0B" w:rsidR="00EC5779" w:rsidRDefault="00946520" w:rsidP="00984FB7">
      <w:pPr>
        <w:pStyle w:val="ListParagraph"/>
        <w:numPr>
          <w:ilvl w:val="0"/>
          <w:numId w:val="15"/>
        </w:numPr>
        <w:spacing w:after="60"/>
        <w:ind w:left="714" w:hanging="357"/>
        <w:contextualSpacing w:val="0"/>
      </w:pPr>
      <w:r>
        <w:t>a</w:t>
      </w:r>
      <w:r w:rsidR="00EC5779">
        <w:t xml:space="preserve"> Mental Health Advice and Response Service in the Children’s Court to inform bail, remand and sentencing decisions</w:t>
      </w:r>
      <w:r>
        <w:t>;</w:t>
      </w:r>
    </w:p>
    <w:p w14:paraId="77D1FF14" w14:textId="0E8A4D15" w:rsidR="00B94454" w:rsidRDefault="00946520" w:rsidP="00984FB7">
      <w:pPr>
        <w:pStyle w:val="ListParagraph"/>
        <w:numPr>
          <w:ilvl w:val="0"/>
          <w:numId w:val="15"/>
        </w:numPr>
        <w:spacing w:after="60"/>
        <w:ind w:left="714" w:hanging="357"/>
        <w:contextualSpacing w:val="0"/>
      </w:pPr>
      <w:r>
        <w:t>e</w:t>
      </w:r>
      <w:r w:rsidR="00E67F9F">
        <w:t>xpanded mental health services in custody</w:t>
      </w:r>
      <w:r>
        <w:t>;</w:t>
      </w:r>
    </w:p>
    <w:p w14:paraId="7E74DF0B" w14:textId="452FC82F" w:rsidR="00852CDD" w:rsidRDefault="00946520" w:rsidP="00984FB7">
      <w:pPr>
        <w:pStyle w:val="ListParagraph"/>
        <w:numPr>
          <w:ilvl w:val="0"/>
          <w:numId w:val="15"/>
        </w:numPr>
        <w:spacing w:after="60"/>
        <w:ind w:left="714" w:hanging="357"/>
        <w:contextualSpacing w:val="0"/>
      </w:pPr>
      <w:r>
        <w:t>a</w:t>
      </w:r>
      <w:r w:rsidR="00772E31">
        <w:t xml:space="preserve"> dedicated health and mental health facility</w:t>
      </w:r>
      <w:r w:rsidR="00FA5ACC">
        <w:t xml:space="preserve"> for voluntary mental health treatment</w:t>
      </w:r>
      <w:r w:rsidR="00F14330">
        <w:t xml:space="preserve"> and </w:t>
      </w:r>
      <w:r w:rsidR="00943147">
        <w:t>monitoring</w:t>
      </w:r>
      <w:r w:rsidR="00852CDD">
        <w:t xml:space="preserve"> at the new Youth Justice facility at Cherry Creek</w:t>
      </w:r>
      <w:r>
        <w:t>;</w:t>
      </w:r>
      <w:r w:rsidR="00857501">
        <w:t xml:space="preserve"> and</w:t>
      </w:r>
    </w:p>
    <w:p w14:paraId="33B305C2" w14:textId="551F8C9D" w:rsidR="004B087E" w:rsidRDefault="00946520" w:rsidP="00984FB7">
      <w:pPr>
        <w:pStyle w:val="ListParagraph"/>
        <w:numPr>
          <w:ilvl w:val="0"/>
          <w:numId w:val="15"/>
        </w:numPr>
        <w:spacing w:after="60"/>
        <w:ind w:left="714" w:hanging="357"/>
        <w:contextualSpacing w:val="0"/>
      </w:pPr>
      <w:r>
        <w:t>t</w:t>
      </w:r>
      <w:r w:rsidR="00D857D2">
        <w:t>hree youth forensic beds at Footscray Hospital</w:t>
      </w:r>
      <w:r w:rsidR="00954B0D">
        <w:t xml:space="preserve"> </w:t>
      </w:r>
      <w:r w:rsidR="00BF425A">
        <w:t xml:space="preserve">for compulsory treatment </w:t>
      </w:r>
      <w:r w:rsidR="005634BF">
        <w:t>required by children in custody</w:t>
      </w:r>
      <w:r w:rsidR="00EC5779">
        <w:t>.</w:t>
      </w:r>
      <w:r w:rsidR="00EC5779">
        <w:rPr>
          <w:rStyle w:val="FootnoteReference"/>
        </w:rPr>
        <w:footnoteReference w:id="142"/>
      </w:r>
    </w:p>
    <w:p w14:paraId="530B0F7C" w14:textId="3624473D" w:rsidR="00187DBF" w:rsidRDefault="009365F1" w:rsidP="007244B0">
      <w:r>
        <w:t xml:space="preserve">We </w:t>
      </w:r>
      <w:r w:rsidR="00304989">
        <w:t>strongly</w:t>
      </w:r>
      <w:r>
        <w:t xml:space="preserve"> </w:t>
      </w:r>
      <w:r w:rsidR="000176F0">
        <w:t>support these commitments</w:t>
      </w:r>
      <w:r w:rsidR="00D26D69">
        <w:t>. To be effective,</w:t>
      </w:r>
      <w:r w:rsidR="00F83BD9">
        <w:t xml:space="preserve"> </w:t>
      </w:r>
      <w:r w:rsidR="00F83BD9" w:rsidRPr="00972C86">
        <w:t xml:space="preserve">youth forensic </w:t>
      </w:r>
      <w:r w:rsidR="00304989">
        <w:t xml:space="preserve">mental health </w:t>
      </w:r>
      <w:r w:rsidR="00F83BD9">
        <w:t>facilities should be</w:t>
      </w:r>
      <w:r w:rsidR="00F83BD9" w:rsidRPr="00972C86">
        <w:t xml:space="preserve"> </w:t>
      </w:r>
      <w:r w:rsidR="00F83BD9">
        <w:t>staffed by dual specialists in forensic mental health and disability</w:t>
      </w:r>
      <w:r w:rsidR="00304989" w:rsidRPr="00304989">
        <w:t xml:space="preserve"> </w:t>
      </w:r>
      <w:r w:rsidR="00304989">
        <w:t>to effectively address the complex needs of children experiencing mental health issues</w:t>
      </w:r>
      <w:r w:rsidR="00F83BD9">
        <w:t xml:space="preserve">. </w:t>
      </w:r>
      <w:r w:rsidR="00F67D1A">
        <w:t>Y</w:t>
      </w:r>
      <w:r w:rsidR="00304989">
        <w:t xml:space="preserve">outh forensic mental health facilities </w:t>
      </w:r>
      <w:r w:rsidR="00304989">
        <w:lastRenderedPageBreak/>
        <w:t>should be</w:t>
      </w:r>
      <w:r w:rsidR="002F1500">
        <w:t xml:space="preserve"> available</w:t>
      </w:r>
      <w:r w:rsidR="00304989">
        <w:t xml:space="preserve"> for </w:t>
      </w:r>
      <w:r w:rsidR="002F1500">
        <w:t>young people on remand</w:t>
      </w:r>
      <w:r w:rsidR="00304989">
        <w:t xml:space="preserve">. </w:t>
      </w:r>
      <w:r w:rsidR="00D26D69">
        <w:t xml:space="preserve">We also </w:t>
      </w:r>
      <w:r w:rsidR="006D286A">
        <w:t>encourage</w:t>
      </w:r>
      <w:r w:rsidR="00D26D69">
        <w:t xml:space="preserve"> t</w:t>
      </w:r>
      <w:r w:rsidR="00CC574E">
        <w:t xml:space="preserve">he Mental Health Advice and Response Service </w:t>
      </w:r>
      <w:r w:rsidR="00304989">
        <w:t>rollout to t</w:t>
      </w:r>
      <w:r w:rsidR="00CC574E">
        <w:t xml:space="preserve">he Children’s Court </w:t>
      </w:r>
      <w:r w:rsidR="00D26D69">
        <w:t>being</w:t>
      </w:r>
      <w:r w:rsidR="00304989">
        <w:t xml:space="preserve"> expanded </w:t>
      </w:r>
      <w:r w:rsidR="006D286A">
        <w:t>to all Children’s Court locations</w:t>
      </w:r>
      <w:r w:rsidR="00304989">
        <w:t>.</w:t>
      </w:r>
    </w:p>
    <w:p w14:paraId="60B3841D" w14:textId="14892ADF" w:rsidR="00CC574E" w:rsidRDefault="00CC574E" w:rsidP="00CC574E">
      <w:r>
        <w:t xml:space="preserve">While the operation of the </w:t>
      </w:r>
      <w:r w:rsidR="00AA29E4" w:rsidRPr="00086C7A">
        <w:rPr>
          <w:i/>
          <w:iCs/>
        </w:rPr>
        <w:t>Crimes (Mental Impairment and Unfitness to be Tried) Act 1997</w:t>
      </w:r>
      <w:r w:rsidR="00AA29E4" w:rsidRPr="0027248A">
        <w:t xml:space="preserve"> </w:t>
      </w:r>
      <w:r w:rsidR="002C0248">
        <w:t xml:space="preserve">(Vic) </w:t>
      </w:r>
      <w:r w:rsidR="00AA29E4">
        <w:t>(</w:t>
      </w:r>
      <w:r w:rsidR="00AA29E4" w:rsidRPr="00086C7A">
        <w:rPr>
          <w:b/>
          <w:bCs/>
        </w:rPr>
        <w:t>CMIA</w:t>
      </w:r>
      <w:r w:rsidR="00AA29E4">
        <w:t>)</w:t>
      </w:r>
      <w:r w:rsidR="00AA29E4" w:rsidRPr="00F207E3">
        <w:t xml:space="preserve"> </w:t>
      </w:r>
      <w:r>
        <w:t xml:space="preserve">has been </w:t>
      </w:r>
      <w:r w:rsidRPr="00E47529">
        <w:t xml:space="preserve">extended to the Children’s Court, </w:t>
      </w:r>
      <w:r w:rsidR="00304989">
        <w:t>it is not widely used</w:t>
      </w:r>
      <w:r>
        <w:t xml:space="preserve">. Our lawyers report that they have seen children experiencing mental health issues and/or disability detained for </w:t>
      </w:r>
      <w:r w:rsidR="00304989">
        <w:t>long</w:t>
      </w:r>
      <w:r>
        <w:t xml:space="preserve"> periods while awaiting fitness determinations or a trial at which the defence of mental impairment will be raised</w:t>
      </w:r>
      <w:r w:rsidR="002F1500">
        <w:t>, during which time they may not be receiving appropriate mental health support</w:t>
      </w:r>
      <w:r>
        <w:t>. This is particularly marked in regional areas. This highlights the need to resource court</w:t>
      </w:r>
      <w:r w:rsidR="00304989">
        <w:t>-</w:t>
      </w:r>
      <w:r>
        <w:t xml:space="preserve">based </w:t>
      </w:r>
      <w:r w:rsidR="00304989">
        <w:t>youth</w:t>
      </w:r>
      <w:r>
        <w:t xml:space="preserve"> mental health services to provide assessments and reports, to </w:t>
      </w:r>
      <w:r w:rsidR="00304989">
        <w:t>avoid vulnerable children spending</w:t>
      </w:r>
      <w:r>
        <w:t xml:space="preserve"> extended periods on remand </w:t>
      </w:r>
      <w:r w:rsidR="00304989">
        <w:t>simply due to lack of services</w:t>
      </w:r>
      <w:r>
        <w:t xml:space="preserve">. </w:t>
      </w:r>
    </w:p>
    <w:p w14:paraId="10560A27" w14:textId="3FC17EAE" w:rsidR="00CC574E" w:rsidRDefault="000C4BCD" w:rsidP="00CC574E">
      <w:r>
        <w:t xml:space="preserve">We </w:t>
      </w:r>
      <w:r w:rsidR="000A21B8">
        <w:t>further</w:t>
      </w:r>
      <w:r>
        <w:t xml:space="preserve"> suggest that these services should be available to young </w:t>
      </w:r>
      <w:r w:rsidR="00A205BC">
        <w:t>people</w:t>
      </w:r>
      <w:r>
        <w:t xml:space="preserve"> where appropriate, </w:t>
      </w:r>
      <w:r w:rsidR="00941401">
        <w:t xml:space="preserve">in accordance with the mainstream dual track system and </w:t>
      </w:r>
      <w:r w:rsidR="001E6ED8">
        <w:t>research which highlights the</w:t>
      </w:r>
      <w:r w:rsidR="00F67C6E">
        <w:t xml:space="preserve"> benefits of </w:t>
      </w:r>
      <w:r w:rsidR="00D51974">
        <w:t xml:space="preserve">age appropriate facilities and services for </w:t>
      </w:r>
      <w:r w:rsidR="001E6ED8">
        <w:t>young offenders</w:t>
      </w:r>
      <w:r w:rsidR="00D26D69">
        <w:t xml:space="preserve"> under 25 years of age</w:t>
      </w:r>
      <w:r w:rsidR="006C7405">
        <w:t>.</w:t>
      </w:r>
      <w:r w:rsidR="00D51974">
        <w:rPr>
          <w:rStyle w:val="FootnoteReference"/>
        </w:rPr>
        <w:footnoteReference w:id="143"/>
      </w:r>
      <w:r w:rsidR="00F10330">
        <w:t xml:space="preserve"> </w:t>
      </w:r>
      <w:r w:rsidR="006C7405">
        <w:t>We also</w:t>
      </w:r>
      <w:r w:rsidR="00CC574E">
        <w:t xml:space="preserve"> suggest that dual-track sentencing approach available in the mainstream system be applied to the CMIA, so that the shorter nominal terms applicable to children subject to a CMIA Supervision Order would also apply to young </w:t>
      </w:r>
      <w:r w:rsidR="00A205BC">
        <w:t>people</w:t>
      </w:r>
      <w:r w:rsidR="00CC574E">
        <w:t xml:space="preserve"> up to 25 years old. </w:t>
      </w:r>
    </w:p>
    <w:p w14:paraId="293FA07F" w14:textId="2A85E6C3" w:rsidR="00EF4A4F" w:rsidRPr="001028B6" w:rsidRDefault="00A17FA6" w:rsidP="00CB2A3F">
      <w:pPr>
        <w:shd w:val="clear" w:color="auto" w:fill="DEEAF6" w:themeFill="accent5" w:themeFillTint="33"/>
        <w:ind w:left="426"/>
      </w:pPr>
      <w:bookmarkStart w:id="2746" w:name="_Toc41412009"/>
      <w:bookmarkStart w:id="2747" w:name="_Hlk41652764"/>
      <w:r w:rsidRPr="00B9060C">
        <w:rPr>
          <w:b/>
          <w:bCs/>
        </w:rPr>
        <w:t xml:space="preserve">Recommendation </w:t>
      </w:r>
      <w:r>
        <w:rPr>
          <w:b/>
          <w:bCs/>
        </w:rPr>
        <w:t xml:space="preserve">41: </w:t>
      </w:r>
      <w:r w:rsidR="000525AB">
        <w:rPr>
          <w:b/>
          <w:bCs/>
        </w:rPr>
        <w:tab/>
      </w:r>
      <w:r w:rsidR="00341623" w:rsidRPr="00A17FA6">
        <w:rPr>
          <w:b/>
          <w:bCs/>
        </w:rPr>
        <w:t xml:space="preserve">Youth forensic mental health </w:t>
      </w:r>
      <w:bookmarkEnd w:id="2746"/>
      <w:r w:rsidR="006A4BF6" w:rsidRPr="00A17FA6">
        <w:rPr>
          <w:b/>
          <w:bCs/>
        </w:rPr>
        <w:t>response</w:t>
      </w:r>
    </w:p>
    <w:bookmarkEnd w:id="2747"/>
    <w:p w14:paraId="7462F8FB" w14:textId="77777777" w:rsidR="00A205BC" w:rsidRPr="00A17FA6" w:rsidRDefault="00311D61" w:rsidP="00CB2A3F">
      <w:pPr>
        <w:shd w:val="clear" w:color="auto" w:fill="DEEAF6" w:themeFill="accent5" w:themeFillTint="33"/>
        <w:ind w:left="426"/>
      </w:pPr>
      <w:r w:rsidRPr="00A17FA6">
        <w:t>The Victorian Government should</w:t>
      </w:r>
      <w:r w:rsidR="00A205BC" w:rsidRPr="00A17FA6">
        <w:t>:</w:t>
      </w:r>
    </w:p>
    <w:p w14:paraId="0AFCA413" w14:textId="08604919" w:rsidR="00A17FA6" w:rsidRPr="00A17FA6" w:rsidRDefault="00C25201" w:rsidP="00984FB7">
      <w:pPr>
        <w:pStyle w:val="ListParagraph"/>
        <w:numPr>
          <w:ilvl w:val="0"/>
          <w:numId w:val="18"/>
        </w:numPr>
        <w:shd w:val="clear" w:color="auto" w:fill="DEEAF6" w:themeFill="accent5" w:themeFillTint="33"/>
        <w:ind w:left="709" w:hanging="283"/>
      </w:pPr>
      <w:r w:rsidRPr="00A17FA6">
        <w:t>Expand the availability of the Children’s Court Mental Health Advice and Response Service to all locations where the Children’s Court sits</w:t>
      </w:r>
      <w:r w:rsidR="00FC386B" w:rsidRPr="00A17FA6">
        <w:t>;</w:t>
      </w:r>
    </w:p>
    <w:p w14:paraId="40C65419" w14:textId="70E0F30F" w:rsidR="00A17FA6" w:rsidRPr="00A17FA6" w:rsidRDefault="00A205BC" w:rsidP="00984FB7">
      <w:pPr>
        <w:pStyle w:val="ListParagraph"/>
        <w:numPr>
          <w:ilvl w:val="0"/>
          <w:numId w:val="18"/>
        </w:numPr>
        <w:shd w:val="clear" w:color="auto" w:fill="DEEAF6" w:themeFill="accent5" w:themeFillTint="33"/>
        <w:ind w:left="709" w:hanging="283"/>
      </w:pPr>
      <w:r w:rsidRPr="00A17FA6">
        <w:t>E</w:t>
      </w:r>
      <w:r w:rsidR="00311D61" w:rsidRPr="00A17FA6">
        <w:t>nsure</w:t>
      </w:r>
      <w:r w:rsidRPr="00A17FA6">
        <w:t xml:space="preserve"> </w:t>
      </w:r>
      <w:r w:rsidR="00304989" w:rsidRPr="00A17FA6">
        <w:t xml:space="preserve">new </w:t>
      </w:r>
      <w:r w:rsidRPr="00A17FA6">
        <w:t>youth</w:t>
      </w:r>
      <w:r w:rsidR="00304989" w:rsidRPr="00A17FA6">
        <w:t xml:space="preserve"> forensic mental health facilities are available on remand as well as post-sentence</w:t>
      </w:r>
      <w:r w:rsidR="00592388" w:rsidRPr="00A17FA6">
        <w:t xml:space="preserve"> </w:t>
      </w:r>
      <w:r w:rsidRPr="00A17FA6">
        <w:t>for</w:t>
      </w:r>
      <w:r w:rsidR="00304989" w:rsidRPr="00A17FA6">
        <w:t xml:space="preserve"> young </w:t>
      </w:r>
      <w:r w:rsidRPr="00A17FA6">
        <w:t>people</w:t>
      </w:r>
      <w:r w:rsidR="00304989" w:rsidRPr="00A17FA6">
        <w:t xml:space="preserve"> up to 25 years of age</w:t>
      </w:r>
      <w:r w:rsidR="00592388" w:rsidRPr="00A17FA6">
        <w:t>;</w:t>
      </w:r>
      <w:r w:rsidR="00C25201" w:rsidRPr="00A17FA6">
        <w:t xml:space="preserve"> and</w:t>
      </w:r>
    </w:p>
    <w:p w14:paraId="4B30A801" w14:textId="3CB93876" w:rsidR="00A918E9" w:rsidRPr="00CB2A3F" w:rsidRDefault="00831F8A" w:rsidP="00984FB7">
      <w:pPr>
        <w:pStyle w:val="ListParagraph"/>
        <w:numPr>
          <w:ilvl w:val="0"/>
          <w:numId w:val="18"/>
        </w:numPr>
        <w:shd w:val="clear" w:color="auto" w:fill="DEEAF6" w:themeFill="accent5" w:themeFillTint="33"/>
        <w:ind w:left="709" w:hanging="283"/>
      </w:pPr>
      <w:r w:rsidRPr="00A17FA6">
        <w:t xml:space="preserve">Extend </w:t>
      </w:r>
      <w:r w:rsidR="00304989" w:rsidRPr="00A17FA6">
        <w:t>nominal term limits for children under the CMIA to</w:t>
      </w:r>
      <w:r w:rsidRPr="00A17FA6">
        <w:t xml:space="preserve"> apply to</w:t>
      </w:r>
      <w:r w:rsidR="00304989" w:rsidRPr="00A17FA6">
        <w:t xml:space="preserve"> young </w:t>
      </w:r>
      <w:r w:rsidR="00592388" w:rsidRPr="00A17FA6">
        <w:t>people</w:t>
      </w:r>
      <w:r w:rsidR="00304989" w:rsidRPr="00A17FA6">
        <w:t xml:space="preserve"> up to 25 years old, mirroring the </w:t>
      </w:r>
      <w:r w:rsidR="00C12867" w:rsidRPr="00A17FA6">
        <w:t>mainstream</w:t>
      </w:r>
      <w:r w:rsidR="00304989" w:rsidRPr="00A17FA6">
        <w:t xml:space="preserve"> dual track system.</w:t>
      </w:r>
      <w:bookmarkEnd w:id="2745"/>
    </w:p>
    <w:p w14:paraId="3D4539AD" w14:textId="42F328C2" w:rsidR="008805D3" w:rsidRDefault="008805D3" w:rsidP="0040503A">
      <w:pPr>
        <w:pStyle w:val="Heading1"/>
        <w:spacing w:before="480"/>
        <w:ind w:left="0" w:firstLine="0"/>
      </w:pPr>
      <w:bookmarkStart w:id="2748" w:name="_Toc40246124"/>
      <w:bookmarkStart w:id="2749" w:name="_Toc40246780"/>
      <w:bookmarkStart w:id="2750" w:name="_Toc40247694"/>
      <w:bookmarkStart w:id="2751" w:name="_Toc40248167"/>
      <w:bookmarkStart w:id="2752" w:name="_Toc40248694"/>
      <w:bookmarkStart w:id="2753" w:name="_Toc40249814"/>
      <w:bookmarkStart w:id="2754" w:name="_Toc40251582"/>
      <w:bookmarkStart w:id="2755" w:name="_Toc40256692"/>
      <w:bookmarkStart w:id="2756" w:name="_Toc40215744"/>
      <w:bookmarkStart w:id="2757" w:name="_Toc40216442"/>
      <w:bookmarkStart w:id="2758" w:name="_Toc40217059"/>
      <w:bookmarkStart w:id="2759" w:name="_Toc40217681"/>
      <w:bookmarkStart w:id="2760" w:name="_Toc40218302"/>
      <w:bookmarkStart w:id="2761" w:name="_Toc40246125"/>
      <w:bookmarkStart w:id="2762" w:name="_Toc40246781"/>
      <w:bookmarkStart w:id="2763" w:name="_Toc40247695"/>
      <w:bookmarkStart w:id="2764" w:name="_Toc40248168"/>
      <w:bookmarkStart w:id="2765" w:name="_Toc40248695"/>
      <w:bookmarkStart w:id="2766" w:name="_Toc40249815"/>
      <w:bookmarkStart w:id="2767" w:name="_Toc40251583"/>
      <w:bookmarkStart w:id="2768" w:name="_Toc40256693"/>
      <w:bookmarkStart w:id="2769" w:name="_Toc40215745"/>
      <w:bookmarkStart w:id="2770" w:name="_Toc40216443"/>
      <w:bookmarkStart w:id="2771" w:name="_Toc40217060"/>
      <w:bookmarkStart w:id="2772" w:name="_Toc40217682"/>
      <w:bookmarkStart w:id="2773" w:name="_Toc40218303"/>
      <w:bookmarkStart w:id="2774" w:name="_Toc40246126"/>
      <w:bookmarkStart w:id="2775" w:name="_Toc40246782"/>
      <w:bookmarkStart w:id="2776" w:name="_Toc40247696"/>
      <w:bookmarkStart w:id="2777" w:name="_Toc40248169"/>
      <w:bookmarkStart w:id="2778" w:name="_Toc40248696"/>
      <w:bookmarkStart w:id="2779" w:name="_Toc40249816"/>
      <w:bookmarkStart w:id="2780" w:name="_Toc40251584"/>
      <w:bookmarkStart w:id="2781" w:name="_Toc40256694"/>
      <w:bookmarkStart w:id="2782" w:name="_Toc40215746"/>
      <w:bookmarkStart w:id="2783" w:name="_Toc40216444"/>
      <w:bookmarkStart w:id="2784" w:name="_Toc40217061"/>
      <w:bookmarkStart w:id="2785" w:name="_Toc40217683"/>
      <w:bookmarkStart w:id="2786" w:name="_Toc40218304"/>
      <w:bookmarkStart w:id="2787" w:name="_Toc40246127"/>
      <w:bookmarkStart w:id="2788" w:name="_Toc40246783"/>
      <w:bookmarkStart w:id="2789" w:name="_Toc40247697"/>
      <w:bookmarkStart w:id="2790" w:name="_Toc40248170"/>
      <w:bookmarkStart w:id="2791" w:name="_Toc40248697"/>
      <w:bookmarkStart w:id="2792" w:name="_Toc40249817"/>
      <w:bookmarkStart w:id="2793" w:name="_Toc40251585"/>
      <w:bookmarkStart w:id="2794" w:name="_Toc40256695"/>
      <w:bookmarkStart w:id="2795" w:name="_Toc40215753"/>
      <w:bookmarkStart w:id="2796" w:name="_Toc40216451"/>
      <w:bookmarkStart w:id="2797" w:name="_Toc40217068"/>
      <w:bookmarkStart w:id="2798" w:name="_Toc40217690"/>
      <w:bookmarkStart w:id="2799" w:name="_Toc40218311"/>
      <w:bookmarkStart w:id="2800" w:name="_Toc40246134"/>
      <w:bookmarkStart w:id="2801" w:name="_Toc40246790"/>
      <w:bookmarkStart w:id="2802" w:name="_Toc40247704"/>
      <w:bookmarkStart w:id="2803" w:name="_Toc40248177"/>
      <w:bookmarkStart w:id="2804" w:name="_Toc40248704"/>
      <w:bookmarkStart w:id="2805" w:name="_Toc40249824"/>
      <w:bookmarkStart w:id="2806" w:name="_Toc40251592"/>
      <w:bookmarkStart w:id="2807" w:name="_Toc40256702"/>
      <w:bookmarkStart w:id="2808" w:name="_Toc40186414"/>
      <w:bookmarkStart w:id="2809" w:name="_Toc40186823"/>
      <w:bookmarkStart w:id="2810" w:name="_Toc40215754"/>
      <w:bookmarkStart w:id="2811" w:name="_Toc40216452"/>
      <w:bookmarkStart w:id="2812" w:name="_Toc40217069"/>
      <w:bookmarkStart w:id="2813" w:name="_Toc40217691"/>
      <w:bookmarkStart w:id="2814" w:name="_Toc40218312"/>
      <w:bookmarkStart w:id="2815" w:name="_Toc40246135"/>
      <w:bookmarkStart w:id="2816" w:name="_Toc40246791"/>
      <w:bookmarkStart w:id="2817" w:name="_Toc40247705"/>
      <w:bookmarkStart w:id="2818" w:name="_Toc40248178"/>
      <w:bookmarkStart w:id="2819" w:name="_Toc40248705"/>
      <w:bookmarkStart w:id="2820" w:name="_Toc40249825"/>
      <w:bookmarkStart w:id="2821" w:name="_Toc40251593"/>
      <w:bookmarkStart w:id="2822" w:name="_Toc40256703"/>
      <w:bookmarkStart w:id="2823" w:name="_Toc40248179"/>
      <w:bookmarkStart w:id="2824" w:name="_Toc40248706"/>
      <w:bookmarkStart w:id="2825" w:name="_Toc40249826"/>
      <w:bookmarkStart w:id="2826" w:name="_Toc40251594"/>
      <w:bookmarkStart w:id="2827" w:name="_Toc40256704"/>
      <w:bookmarkStart w:id="2828" w:name="_Toc40248180"/>
      <w:bookmarkStart w:id="2829" w:name="_Toc40248707"/>
      <w:bookmarkStart w:id="2830" w:name="_Toc40249827"/>
      <w:bookmarkStart w:id="2831" w:name="_Toc40251595"/>
      <w:bookmarkStart w:id="2832" w:name="_Toc40256705"/>
      <w:bookmarkStart w:id="2833" w:name="_Toc40248181"/>
      <w:bookmarkStart w:id="2834" w:name="_Toc40248708"/>
      <w:bookmarkStart w:id="2835" w:name="_Toc40249828"/>
      <w:bookmarkStart w:id="2836" w:name="_Toc40251596"/>
      <w:bookmarkStart w:id="2837" w:name="_Toc40256706"/>
      <w:bookmarkStart w:id="2838" w:name="_Toc40248182"/>
      <w:bookmarkStart w:id="2839" w:name="_Toc40248709"/>
      <w:bookmarkStart w:id="2840" w:name="_Toc40249829"/>
      <w:bookmarkStart w:id="2841" w:name="_Toc40251597"/>
      <w:bookmarkStart w:id="2842" w:name="_Toc40256707"/>
      <w:bookmarkStart w:id="2843" w:name="_Toc40248183"/>
      <w:bookmarkStart w:id="2844" w:name="_Toc40248710"/>
      <w:bookmarkStart w:id="2845" w:name="_Toc40249830"/>
      <w:bookmarkStart w:id="2846" w:name="_Toc40251598"/>
      <w:bookmarkStart w:id="2847" w:name="_Toc40256708"/>
      <w:bookmarkStart w:id="2848" w:name="_Toc40248184"/>
      <w:bookmarkStart w:id="2849" w:name="_Toc40248711"/>
      <w:bookmarkStart w:id="2850" w:name="_Toc40249831"/>
      <w:bookmarkStart w:id="2851" w:name="_Toc40251599"/>
      <w:bookmarkStart w:id="2852" w:name="_Toc40256709"/>
      <w:bookmarkStart w:id="2853" w:name="_Toc40248185"/>
      <w:bookmarkStart w:id="2854" w:name="_Toc40248712"/>
      <w:bookmarkStart w:id="2855" w:name="_Toc40249832"/>
      <w:bookmarkStart w:id="2856" w:name="_Toc40251600"/>
      <w:bookmarkStart w:id="2857" w:name="_Toc40256710"/>
      <w:bookmarkStart w:id="2858" w:name="_Toc40248186"/>
      <w:bookmarkStart w:id="2859" w:name="_Toc40248713"/>
      <w:bookmarkStart w:id="2860" w:name="_Toc40249833"/>
      <w:bookmarkStart w:id="2861" w:name="_Toc40251601"/>
      <w:bookmarkStart w:id="2862" w:name="_Toc40256711"/>
      <w:bookmarkStart w:id="2863" w:name="_Toc40248187"/>
      <w:bookmarkStart w:id="2864" w:name="_Toc40248714"/>
      <w:bookmarkStart w:id="2865" w:name="_Toc40249834"/>
      <w:bookmarkStart w:id="2866" w:name="_Toc40251602"/>
      <w:bookmarkStart w:id="2867" w:name="_Toc40256712"/>
      <w:bookmarkStart w:id="2868" w:name="_Toc40248188"/>
      <w:bookmarkStart w:id="2869" w:name="_Toc40248715"/>
      <w:bookmarkStart w:id="2870" w:name="_Toc40249835"/>
      <w:bookmarkStart w:id="2871" w:name="_Toc40251603"/>
      <w:bookmarkStart w:id="2872" w:name="_Toc40256713"/>
      <w:bookmarkStart w:id="2873" w:name="_Toc40248189"/>
      <w:bookmarkStart w:id="2874" w:name="_Toc40248716"/>
      <w:bookmarkStart w:id="2875" w:name="_Toc40249836"/>
      <w:bookmarkStart w:id="2876" w:name="_Toc40251604"/>
      <w:bookmarkStart w:id="2877" w:name="_Toc40256714"/>
      <w:bookmarkStart w:id="2878" w:name="_Toc40248190"/>
      <w:bookmarkStart w:id="2879" w:name="_Toc40248717"/>
      <w:bookmarkStart w:id="2880" w:name="_Toc40249837"/>
      <w:bookmarkStart w:id="2881" w:name="_Toc40251605"/>
      <w:bookmarkStart w:id="2882" w:name="_Toc40256715"/>
      <w:bookmarkStart w:id="2883" w:name="_Toc40248191"/>
      <w:bookmarkStart w:id="2884" w:name="_Toc40248718"/>
      <w:bookmarkStart w:id="2885" w:name="_Toc40249838"/>
      <w:bookmarkStart w:id="2886" w:name="_Toc40251606"/>
      <w:bookmarkStart w:id="2887" w:name="_Toc40256716"/>
      <w:bookmarkStart w:id="2888" w:name="_Toc40248192"/>
      <w:bookmarkStart w:id="2889" w:name="_Toc40248719"/>
      <w:bookmarkStart w:id="2890" w:name="_Toc40249839"/>
      <w:bookmarkStart w:id="2891" w:name="_Toc40251607"/>
      <w:bookmarkStart w:id="2892" w:name="_Toc40256717"/>
      <w:bookmarkStart w:id="2893" w:name="_Toc40248193"/>
      <w:bookmarkStart w:id="2894" w:name="_Toc40248720"/>
      <w:bookmarkStart w:id="2895" w:name="_Toc40249840"/>
      <w:bookmarkStart w:id="2896" w:name="_Toc40251608"/>
      <w:bookmarkStart w:id="2897" w:name="_Toc40256718"/>
      <w:bookmarkStart w:id="2898" w:name="_Toc40248194"/>
      <w:bookmarkStart w:id="2899" w:name="_Toc40248721"/>
      <w:bookmarkStart w:id="2900" w:name="_Toc40249841"/>
      <w:bookmarkStart w:id="2901" w:name="_Toc40251609"/>
      <w:bookmarkStart w:id="2902" w:name="_Toc40256719"/>
      <w:bookmarkStart w:id="2903" w:name="_Toc40248195"/>
      <w:bookmarkStart w:id="2904" w:name="_Toc40248722"/>
      <w:bookmarkStart w:id="2905" w:name="_Toc40249842"/>
      <w:bookmarkStart w:id="2906" w:name="_Toc40251610"/>
      <w:bookmarkStart w:id="2907" w:name="_Toc40256720"/>
      <w:bookmarkStart w:id="2908" w:name="_Toc40248196"/>
      <w:bookmarkStart w:id="2909" w:name="_Toc40248723"/>
      <w:bookmarkStart w:id="2910" w:name="_Toc40249843"/>
      <w:bookmarkStart w:id="2911" w:name="_Toc40251611"/>
      <w:bookmarkStart w:id="2912" w:name="_Toc40256721"/>
      <w:bookmarkStart w:id="2913" w:name="_Toc40248197"/>
      <w:bookmarkStart w:id="2914" w:name="_Toc40248724"/>
      <w:bookmarkStart w:id="2915" w:name="_Toc40249844"/>
      <w:bookmarkStart w:id="2916" w:name="_Toc40251612"/>
      <w:bookmarkStart w:id="2917" w:name="_Toc40256722"/>
      <w:bookmarkStart w:id="2918" w:name="_Toc40215758"/>
      <w:bookmarkStart w:id="2919" w:name="_Toc40248198"/>
      <w:bookmarkStart w:id="2920" w:name="_Toc40248725"/>
      <w:bookmarkStart w:id="2921" w:name="_Toc40249845"/>
      <w:bookmarkStart w:id="2922" w:name="_Toc40251613"/>
      <w:bookmarkStart w:id="2923" w:name="_Toc40256723"/>
      <w:bookmarkStart w:id="2924" w:name="_Toc40248199"/>
      <w:bookmarkStart w:id="2925" w:name="_Toc40248726"/>
      <w:bookmarkStart w:id="2926" w:name="_Toc40249846"/>
      <w:bookmarkStart w:id="2927" w:name="_Toc40251614"/>
      <w:bookmarkStart w:id="2928" w:name="_Toc40256724"/>
      <w:bookmarkStart w:id="2929" w:name="_Toc40248200"/>
      <w:bookmarkStart w:id="2930" w:name="_Toc40248727"/>
      <w:bookmarkStart w:id="2931" w:name="_Toc40249847"/>
      <w:bookmarkStart w:id="2932" w:name="_Toc40251615"/>
      <w:bookmarkStart w:id="2933" w:name="_Toc40256725"/>
      <w:bookmarkStart w:id="2934" w:name="_Toc40248201"/>
      <w:bookmarkStart w:id="2935" w:name="_Toc40248728"/>
      <w:bookmarkStart w:id="2936" w:name="_Toc40249848"/>
      <w:bookmarkStart w:id="2937" w:name="_Toc40251616"/>
      <w:bookmarkStart w:id="2938" w:name="_Toc40256726"/>
      <w:bookmarkStart w:id="2939" w:name="_Toc40248202"/>
      <w:bookmarkStart w:id="2940" w:name="_Toc40248729"/>
      <w:bookmarkStart w:id="2941" w:name="_Toc40249849"/>
      <w:bookmarkStart w:id="2942" w:name="_Toc40251617"/>
      <w:bookmarkStart w:id="2943" w:name="_Toc40256727"/>
      <w:bookmarkStart w:id="2944" w:name="_Toc40248203"/>
      <w:bookmarkStart w:id="2945" w:name="_Toc40248730"/>
      <w:bookmarkStart w:id="2946" w:name="_Toc40249850"/>
      <w:bookmarkStart w:id="2947" w:name="_Toc40251618"/>
      <w:bookmarkStart w:id="2948" w:name="_Toc40256728"/>
      <w:bookmarkStart w:id="2949" w:name="_Toc40248204"/>
      <w:bookmarkStart w:id="2950" w:name="_Toc40248731"/>
      <w:bookmarkStart w:id="2951" w:name="_Toc40249851"/>
      <w:bookmarkStart w:id="2952" w:name="_Toc40251619"/>
      <w:bookmarkStart w:id="2953" w:name="_Toc40256729"/>
      <w:bookmarkStart w:id="2954" w:name="_Toc40248205"/>
      <w:bookmarkStart w:id="2955" w:name="_Toc40248732"/>
      <w:bookmarkStart w:id="2956" w:name="_Toc40249852"/>
      <w:bookmarkStart w:id="2957" w:name="_Toc40251620"/>
      <w:bookmarkStart w:id="2958" w:name="_Toc40256730"/>
      <w:bookmarkStart w:id="2959" w:name="_Toc40248206"/>
      <w:bookmarkStart w:id="2960" w:name="_Toc40248733"/>
      <w:bookmarkStart w:id="2961" w:name="_Toc40249853"/>
      <w:bookmarkStart w:id="2962" w:name="_Toc40251621"/>
      <w:bookmarkStart w:id="2963" w:name="_Toc40256731"/>
      <w:bookmarkStart w:id="2964" w:name="_Toc40248207"/>
      <w:bookmarkStart w:id="2965" w:name="_Toc40248734"/>
      <w:bookmarkStart w:id="2966" w:name="_Toc40249854"/>
      <w:bookmarkStart w:id="2967" w:name="_Toc40251622"/>
      <w:bookmarkStart w:id="2968" w:name="_Toc40256732"/>
      <w:bookmarkStart w:id="2969" w:name="_Toc40248208"/>
      <w:bookmarkStart w:id="2970" w:name="_Toc40248735"/>
      <w:bookmarkStart w:id="2971" w:name="_Toc40249855"/>
      <w:bookmarkStart w:id="2972" w:name="_Toc40251623"/>
      <w:bookmarkStart w:id="2973" w:name="_Toc40256733"/>
      <w:bookmarkStart w:id="2974" w:name="_Toc40248209"/>
      <w:bookmarkStart w:id="2975" w:name="_Toc40248736"/>
      <w:bookmarkStart w:id="2976" w:name="_Toc40249856"/>
      <w:bookmarkStart w:id="2977" w:name="_Toc40251624"/>
      <w:bookmarkStart w:id="2978" w:name="_Toc40256734"/>
      <w:bookmarkStart w:id="2979" w:name="_Toc40248210"/>
      <w:bookmarkStart w:id="2980" w:name="_Toc40248737"/>
      <w:bookmarkStart w:id="2981" w:name="_Toc40249857"/>
      <w:bookmarkStart w:id="2982" w:name="_Toc40251625"/>
      <w:bookmarkStart w:id="2983" w:name="_Toc40256735"/>
      <w:bookmarkStart w:id="2984" w:name="_Toc40248211"/>
      <w:bookmarkStart w:id="2985" w:name="_Toc40248738"/>
      <w:bookmarkStart w:id="2986" w:name="_Toc40249858"/>
      <w:bookmarkStart w:id="2987" w:name="_Toc40251626"/>
      <w:bookmarkStart w:id="2988" w:name="_Toc40256736"/>
      <w:bookmarkStart w:id="2989" w:name="_Toc40248212"/>
      <w:bookmarkStart w:id="2990" w:name="_Toc40248739"/>
      <w:bookmarkStart w:id="2991" w:name="_Toc40249859"/>
      <w:bookmarkStart w:id="2992" w:name="_Toc40251627"/>
      <w:bookmarkStart w:id="2993" w:name="_Toc40256737"/>
      <w:bookmarkStart w:id="2994" w:name="_Toc40248213"/>
      <w:bookmarkStart w:id="2995" w:name="_Toc40248740"/>
      <w:bookmarkStart w:id="2996" w:name="_Toc40249860"/>
      <w:bookmarkStart w:id="2997" w:name="_Toc40251628"/>
      <w:bookmarkStart w:id="2998" w:name="_Toc40256738"/>
      <w:bookmarkStart w:id="2999" w:name="_Toc40248214"/>
      <w:bookmarkStart w:id="3000" w:name="_Toc40248741"/>
      <w:bookmarkStart w:id="3001" w:name="_Toc40249861"/>
      <w:bookmarkStart w:id="3002" w:name="_Toc40251629"/>
      <w:bookmarkStart w:id="3003" w:name="_Toc40256739"/>
      <w:bookmarkStart w:id="3004" w:name="_Toc40248216"/>
      <w:bookmarkStart w:id="3005" w:name="_Toc40248743"/>
      <w:bookmarkStart w:id="3006" w:name="_Toc40249863"/>
      <w:bookmarkStart w:id="3007" w:name="_Toc40251631"/>
      <w:bookmarkStart w:id="3008" w:name="_Toc40256741"/>
      <w:bookmarkStart w:id="3009" w:name="_Toc40248217"/>
      <w:bookmarkStart w:id="3010" w:name="_Toc40248744"/>
      <w:bookmarkStart w:id="3011" w:name="_Toc40249864"/>
      <w:bookmarkStart w:id="3012" w:name="_Toc40251632"/>
      <w:bookmarkStart w:id="3013" w:name="_Toc40256742"/>
      <w:bookmarkStart w:id="3014" w:name="_Toc40248218"/>
      <w:bookmarkStart w:id="3015" w:name="_Toc40248745"/>
      <w:bookmarkStart w:id="3016" w:name="_Toc40249865"/>
      <w:bookmarkStart w:id="3017" w:name="_Toc40251633"/>
      <w:bookmarkStart w:id="3018" w:name="_Toc40256743"/>
      <w:bookmarkStart w:id="3019" w:name="_Toc40248219"/>
      <w:bookmarkStart w:id="3020" w:name="_Toc40248746"/>
      <w:bookmarkStart w:id="3021" w:name="_Toc40249866"/>
      <w:bookmarkStart w:id="3022" w:name="_Toc40251634"/>
      <w:bookmarkStart w:id="3023" w:name="_Toc40256744"/>
      <w:bookmarkStart w:id="3024" w:name="_Toc40248220"/>
      <w:bookmarkStart w:id="3025" w:name="_Toc40248747"/>
      <w:bookmarkStart w:id="3026" w:name="_Toc40249867"/>
      <w:bookmarkStart w:id="3027" w:name="_Toc40251635"/>
      <w:bookmarkStart w:id="3028" w:name="_Toc40256745"/>
      <w:bookmarkStart w:id="3029" w:name="_Toc40248221"/>
      <w:bookmarkStart w:id="3030" w:name="_Toc40248748"/>
      <w:bookmarkStart w:id="3031" w:name="_Toc40249868"/>
      <w:bookmarkStart w:id="3032" w:name="_Toc40251636"/>
      <w:bookmarkStart w:id="3033" w:name="_Toc40256746"/>
      <w:bookmarkStart w:id="3034" w:name="_Toc40248222"/>
      <w:bookmarkStart w:id="3035" w:name="_Toc40248749"/>
      <w:bookmarkStart w:id="3036" w:name="_Toc40249869"/>
      <w:bookmarkStart w:id="3037" w:name="_Toc40251637"/>
      <w:bookmarkStart w:id="3038" w:name="_Toc40256747"/>
      <w:bookmarkStart w:id="3039" w:name="_Toc40248223"/>
      <w:bookmarkStart w:id="3040" w:name="_Toc40248750"/>
      <w:bookmarkStart w:id="3041" w:name="_Toc40249870"/>
      <w:bookmarkStart w:id="3042" w:name="_Toc40251638"/>
      <w:bookmarkStart w:id="3043" w:name="_Toc40256748"/>
      <w:bookmarkStart w:id="3044" w:name="_Toc40248224"/>
      <w:bookmarkStart w:id="3045" w:name="_Toc40248751"/>
      <w:bookmarkStart w:id="3046" w:name="_Toc40249871"/>
      <w:bookmarkStart w:id="3047" w:name="_Toc40251639"/>
      <w:bookmarkStart w:id="3048" w:name="_Toc40256749"/>
      <w:bookmarkStart w:id="3049" w:name="_Toc40248225"/>
      <w:bookmarkStart w:id="3050" w:name="_Toc40248752"/>
      <w:bookmarkStart w:id="3051" w:name="_Toc40249872"/>
      <w:bookmarkStart w:id="3052" w:name="_Toc40251640"/>
      <w:bookmarkStart w:id="3053" w:name="_Toc40256750"/>
      <w:bookmarkStart w:id="3054" w:name="_Toc40248226"/>
      <w:bookmarkStart w:id="3055" w:name="_Toc40248753"/>
      <w:bookmarkStart w:id="3056" w:name="_Toc40249873"/>
      <w:bookmarkStart w:id="3057" w:name="_Toc40251641"/>
      <w:bookmarkStart w:id="3058" w:name="_Toc40256751"/>
      <w:bookmarkStart w:id="3059" w:name="_Toc40248227"/>
      <w:bookmarkStart w:id="3060" w:name="_Toc40248754"/>
      <w:bookmarkStart w:id="3061" w:name="_Toc40249874"/>
      <w:bookmarkStart w:id="3062" w:name="_Toc40251642"/>
      <w:bookmarkStart w:id="3063" w:name="_Toc40256752"/>
      <w:bookmarkStart w:id="3064" w:name="_Toc40248228"/>
      <w:bookmarkStart w:id="3065" w:name="_Toc40248755"/>
      <w:bookmarkStart w:id="3066" w:name="_Toc40249875"/>
      <w:bookmarkStart w:id="3067" w:name="_Toc40251643"/>
      <w:bookmarkStart w:id="3068" w:name="_Toc40256753"/>
      <w:bookmarkStart w:id="3069" w:name="_Toc40248230"/>
      <w:bookmarkStart w:id="3070" w:name="_Toc40248757"/>
      <w:bookmarkStart w:id="3071" w:name="_Toc40249877"/>
      <w:bookmarkStart w:id="3072" w:name="_Toc40251645"/>
      <w:bookmarkStart w:id="3073" w:name="_Toc40256755"/>
      <w:bookmarkStart w:id="3074" w:name="_Toc40248231"/>
      <w:bookmarkStart w:id="3075" w:name="_Toc40248758"/>
      <w:bookmarkStart w:id="3076" w:name="_Toc40249878"/>
      <w:bookmarkStart w:id="3077" w:name="_Toc40251646"/>
      <w:bookmarkStart w:id="3078" w:name="_Toc40256756"/>
      <w:bookmarkStart w:id="3079" w:name="_Toc40248232"/>
      <w:bookmarkStart w:id="3080" w:name="_Toc40248759"/>
      <w:bookmarkStart w:id="3081" w:name="_Toc40249879"/>
      <w:bookmarkStart w:id="3082" w:name="_Toc40251647"/>
      <w:bookmarkStart w:id="3083" w:name="_Toc40256757"/>
      <w:bookmarkStart w:id="3084" w:name="_Toc40248233"/>
      <w:bookmarkStart w:id="3085" w:name="_Toc40248760"/>
      <w:bookmarkStart w:id="3086" w:name="_Toc40249880"/>
      <w:bookmarkStart w:id="3087" w:name="_Toc40251648"/>
      <w:bookmarkStart w:id="3088" w:name="_Toc40256758"/>
      <w:bookmarkStart w:id="3089" w:name="_Toc40246138"/>
      <w:bookmarkStart w:id="3090" w:name="_Toc40246794"/>
      <w:bookmarkStart w:id="3091" w:name="_Toc40247708"/>
      <w:bookmarkStart w:id="3092" w:name="_Toc40248234"/>
      <w:bookmarkStart w:id="3093" w:name="_Toc40248761"/>
      <w:bookmarkStart w:id="3094" w:name="_Toc40249881"/>
      <w:bookmarkStart w:id="3095" w:name="_Toc40251649"/>
      <w:bookmarkStart w:id="3096" w:name="_Toc40256759"/>
      <w:bookmarkStart w:id="3097" w:name="_Toc40246139"/>
      <w:bookmarkStart w:id="3098" w:name="_Toc40246795"/>
      <w:bookmarkStart w:id="3099" w:name="_Toc40247709"/>
      <w:bookmarkStart w:id="3100" w:name="_Toc40248235"/>
      <w:bookmarkStart w:id="3101" w:name="_Toc40248762"/>
      <w:bookmarkStart w:id="3102" w:name="_Toc40249882"/>
      <w:bookmarkStart w:id="3103" w:name="_Toc40251650"/>
      <w:bookmarkStart w:id="3104" w:name="_Toc40256760"/>
      <w:bookmarkStart w:id="3105" w:name="_Toc40246140"/>
      <w:bookmarkStart w:id="3106" w:name="_Toc40246796"/>
      <w:bookmarkStart w:id="3107" w:name="_Toc40247710"/>
      <w:bookmarkStart w:id="3108" w:name="_Toc40248236"/>
      <w:bookmarkStart w:id="3109" w:name="_Toc40248763"/>
      <w:bookmarkStart w:id="3110" w:name="_Toc40249883"/>
      <w:bookmarkStart w:id="3111" w:name="_Toc40251651"/>
      <w:bookmarkStart w:id="3112" w:name="_Toc40256761"/>
      <w:bookmarkStart w:id="3113" w:name="_Toc40246141"/>
      <w:bookmarkStart w:id="3114" w:name="_Toc40246797"/>
      <w:bookmarkStart w:id="3115" w:name="_Toc40247711"/>
      <w:bookmarkStart w:id="3116" w:name="_Toc40248237"/>
      <w:bookmarkStart w:id="3117" w:name="_Toc40248764"/>
      <w:bookmarkStart w:id="3118" w:name="_Toc40249884"/>
      <w:bookmarkStart w:id="3119" w:name="_Toc40251652"/>
      <w:bookmarkStart w:id="3120" w:name="_Toc40256762"/>
      <w:bookmarkStart w:id="3121" w:name="_Toc40246142"/>
      <w:bookmarkStart w:id="3122" w:name="_Toc40246798"/>
      <w:bookmarkStart w:id="3123" w:name="_Toc40247712"/>
      <w:bookmarkStart w:id="3124" w:name="_Toc40248238"/>
      <w:bookmarkStart w:id="3125" w:name="_Toc40248765"/>
      <w:bookmarkStart w:id="3126" w:name="_Toc40249885"/>
      <w:bookmarkStart w:id="3127" w:name="_Toc40251653"/>
      <w:bookmarkStart w:id="3128" w:name="_Toc40256763"/>
      <w:bookmarkStart w:id="3129" w:name="_Toc40246143"/>
      <w:bookmarkStart w:id="3130" w:name="_Toc40246799"/>
      <w:bookmarkStart w:id="3131" w:name="_Toc40247713"/>
      <w:bookmarkStart w:id="3132" w:name="_Toc40248239"/>
      <w:bookmarkStart w:id="3133" w:name="_Toc40248766"/>
      <w:bookmarkStart w:id="3134" w:name="_Toc40249886"/>
      <w:bookmarkStart w:id="3135" w:name="_Toc40251654"/>
      <w:bookmarkStart w:id="3136" w:name="_Toc40256764"/>
      <w:bookmarkStart w:id="3137" w:name="_Toc40246144"/>
      <w:bookmarkStart w:id="3138" w:name="_Toc40246800"/>
      <w:bookmarkStart w:id="3139" w:name="_Toc40247714"/>
      <w:bookmarkStart w:id="3140" w:name="_Toc40248240"/>
      <w:bookmarkStart w:id="3141" w:name="_Toc40248767"/>
      <w:bookmarkStart w:id="3142" w:name="_Toc40249887"/>
      <w:bookmarkStart w:id="3143" w:name="_Toc40251655"/>
      <w:bookmarkStart w:id="3144" w:name="_Toc40256765"/>
      <w:bookmarkStart w:id="3145" w:name="_Toc40246145"/>
      <w:bookmarkStart w:id="3146" w:name="_Toc40246801"/>
      <w:bookmarkStart w:id="3147" w:name="_Toc40247715"/>
      <w:bookmarkStart w:id="3148" w:name="_Toc40248241"/>
      <w:bookmarkStart w:id="3149" w:name="_Toc40248768"/>
      <w:bookmarkStart w:id="3150" w:name="_Toc40249888"/>
      <w:bookmarkStart w:id="3151" w:name="_Toc40251656"/>
      <w:bookmarkStart w:id="3152" w:name="_Toc40256766"/>
      <w:bookmarkStart w:id="3153" w:name="_Toc40246146"/>
      <w:bookmarkStart w:id="3154" w:name="_Toc40246802"/>
      <w:bookmarkStart w:id="3155" w:name="_Toc40247716"/>
      <w:bookmarkStart w:id="3156" w:name="_Toc40248242"/>
      <w:bookmarkStart w:id="3157" w:name="_Toc40248769"/>
      <w:bookmarkStart w:id="3158" w:name="_Toc40249889"/>
      <w:bookmarkStart w:id="3159" w:name="_Toc40251657"/>
      <w:bookmarkStart w:id="3160" w:name="_Toc40256767"/>
      <w:bookmarkStart w:id="3161" w:name="_Toc40246147"/>
      <w:bookmarkStart w:id="3162" w:name="_Toc40246803"/>
      <w:bookmarkStart w:id="3163" w:name="_Toc40247717"/>
      <w:bookmarkStart w:id="3164" w:name="_Toc40248243"/>
      <w:bookmarkStart w:id="3165" w:name="_Toc40248770"/>
      <w:bookmarkStart w:id="3166" w:name="_Toc40249890"/>
      <w:bookmarkStart w:id="3167" w:name="_Toc40251658"/>
      <w:bookmarkStart w:id="3168" w:name="_Toc40256768"/>
      <w:bookmarkStart w:id="3169" w:name="_Toc40246148"/>
      <w:bookmarkStart w:id="3170" w:name="_Toc40246804"/>
      <w:bookmarkStart w:id="3171" w:name="_Toc40247718"/>
      <w:bookmarkStart w:id="3172" w:name="_Toc40248244"/>
      <w:bookmarkStart w:id="3173" w:name="_Toc40248771"/>
      <w:bookmarkStart w:id="3174" w:name="_Toc40249891"/>
      <w:bookmarkStart w:id="3175" w:name="_Toc40251659"/>
      <w:bookmarkStart w:id="3176" w:name="_Toc40256769"/>
      <w:bookmarkStart w:id="3177" w:name="_Toc40246149"/>
      <w:bookmarkStart w:id="3178" w:name="_Toc40246805"/>
      <w:bookmarkStart w:id="3179" w:name="_Toc40247719"/>
      <w:bookmarkStart w:id="3180" w:name="_Toc40248245"/>
      <w:bookmarkStart w:id="3181" w:name="_Toc40248772"/>
      <w:bookmarkStart w:id="3182" w:name="_Toc40249892"/>
      <w:bookmarkStart w:id="3183" w:name="_Toc40251660"/>
      <w:bookmarkStart w:id="3184" w:name="_Toc40256770"/>
      <w:bookmarkStart w:id="3185" w:name="_Toc40246150"/>
      <w:bookmarkStart w:id="3186" w:name="_Toc40246806"/>
      <w:bookmarkStart w:id="3187" w:name="_Toc40247720"/>
      <w:bookmarkStart w:id="3188" w:name="_Toc40248246"/>
      <w:bookmarkStart w:id="3189" w:name="_Toc40248773"/>
      <w:bookmarkStart w:id="3190" w:name="_Toc40249893"/>
      <w:bookmarkStart w:id="3191" w:name="_Toc40251661"/>
      <w:bookmarkStart w:id="3192" w:name="_Toc40256771"/>
      <w:bookmarkStart w:id="3193" w:name="_Toc40246151"/>
      <w:bookmarkStart w:id="3194" w:name="_Toc40246807"/>
      <w:bookmarkStart w:id="3195" w:name="_Toc40247721"/>
      <w:bookmarkStart w:id="3196" w:name="_Toc40248247"/>
      <w:bookmarkStart w:id="3197" w:name="_Toc40248774"/>
      <w:bookmarkStart w:id="3198" w:name="_Toc40249894"/>
      <w:bookmarkStart w:id="3199" w:name="_Toc40251662"/>
      <w:bookmarkStart w:id="3200" w:name="_Toc40256772"/>
      <w:bookmarkStart w:id="3201" w:name="_Toc40246152"/>
      <w:bookmarkStart w:id="3202" w:name="_Toc40246808"/>
      <w:bookmarkStart w:id="3203" w:name="_Toc40247722"/>
      <w:bookmarkStart w:id="3204" w:name="_Toc40248248"/>
      <w:bookmarkStart w:id="3205" w:name="_Toc40248775"/>
      <w:bookmarkStart w:id="3206" w:name="_Toc40249895"/>
      <w:bookmarkStart w:id="3207" w:name="_Toc40251663"/>
      <w:bookmarkStart w:id="3208" w:name="_Toc40256773"/>
      <w:bookmarkStart w:id="3209" w:name="_Toc40246153"/>
      <w:bookmarkStart w:id="3210" w:name="_Toc40246809"/>
      <w:bookmarkStart w:id="3211" w:name="_Toc40247723"/>
      <w:bookmarkStart w:id="3212" w:name="_Toc40248249"/>
      <w:bookmarkStart w:id="3213" w:name="_Toc40248776"/>
      <w:bookmarkStart w:id="3214" w:name="_Toc40249896"/>
      <w:bookmarkStart w:id="3215" w:name="_Toc40251664"/>
      <w:bookmarkStart w:id="3216" w:name="_Toc40256774"/>
      <w:bookmarkStart w:id="3217" w:name="_Toc40246154"/>
      <w:bookmarkStart w:id="3218" w:name="_Toc40246810"/>
      <w:bookmarkStart w:id="3219" w:name="_Toc40247724"/>
      <w:bookmarkStart w:id="3220" w:name="_Toc40248250"/>
      <w:bookmarkStart w:id="3221" w:name="_Toc40248777"/>
      <w:bookmarkStart w:id="3222" w:name="_Toc40249897"/>
      <w:bookmarkStart w:id="3223" w:name="_Toc40251665"/>
      <w:bookmarkStart w:id="3224" w:name="_Toc40256775"/>
      <w:bookmarkStart w:id="3225" w:name="_Toc40246155"/>
      <w:bookmarkStart w:id="3226" w:name="_Toc40246811"/>
      <w:bookmarkStart w:id="3227" w:name="_Toc40247725"/>
      <w:bookmarkStart w:id="3228" w:name="_Toc40248251"/>
      <w:bookmarkStart w:id="3229" w:name="_Toc40248778"/>
      <w:bookmarkStart w:id="3230" w:name="_Toc40249898"/>
      <w:bookmarkStart w:id="3231" w:name="_Toc40251666"/>
      <w:bookmarkStart w:id="3232" w:name="_Toc40256776"/>
      <w:bookmarkStart w:id="3233" w:name="_Toc40246156"/>
      <w:bookmarkStart w:id="3234" w:name="_Toc40246812"/>
      <w:bookmarkStart w:id="3235" w:name="_Toc40247726"/>
      <w:bookmarkStart w:id="3236" w:name="_Toc40248252"/>
      <w:bookmarkStart w:id="3237" w:name="_Toc40248779"/>
      <w:bookmarkStart w:id="3238" w:name="_Toc40249899"/>
      <w:bookmarkStart w:id="3239" w:name="_Toc40251667"/>
      <w:bookmarkStart w:id="3240" w:name="_Toc40256777"/>
      <w:bookmarkStart w:id="3241" w:name="_Toc40246163"/>
      <w:bookmarkStart w:id="3242" w:name="_Toc40246819"/>
      <w:bookmarkStart w:id="3243" w:name="_Toc40247733"/>
      <w:bookmarkStart w:id="3244" w:name="_Toc40248259"/>
      <w:bookmarkStart w:id="3245" w:name="_Toc40248786"/>
      <w:bookmarkStart w:id="3246" w:name="_Toc40249906"/>
      <w:bookmarkStart w:id="3247" w:name="_Toc40251674"/>
      <w:bookmarkStart w:id="3248" w:name="_Toc40256784"/>
      <w:bookmarkStart w:id="3249" w:name="_Toc40246164"/>
      <w:bookmarkStart w:id="3250" w:name="_Toc40246820"/>
      <w:bookmarkStart w:id="3251" w:name="_Toc40247734"/>
      <w:bookmarkStart w:id="3252" w:name="_Toc40248260"/>
      <w:bookmarkStart w:id="3253" w:name="_Toc40248787"/>
      <w:bookmarkStart w:id="3254" w:name="_Toc40249907"/>
      <w:bookmarkStart w:id="3255" w:name="_Toc40251675"/>
      <w:bookmarkStart w:id="3256" w:name="_Toc40256785"/>
      <w:bookmarkStart w:id="3257" w:name="_Toc40246165"/>
      <w:bookmarkStart w:id="3258" w:name="_Toc40246821"/>
      <w:bookmarkStart w:id="3259" w:name="_Toc40247735"/>
      <w:bookmarkStart w:id="3260" w:name="_Toc40248261"/>
      <w:bookmarkStart w:id="3261" w:name="_Toc40248788"/>
      <w:bookmarkStart w:id="3262" w:name="_Toc40249908"/>
      <w:bookmarkStart w:id="3263" w:name="_Toc40251676"/>
      <w:bookmarkStart w:id="3264" w:name="_Toc40256786"/>
      <w:bookmarkStart w:id="3265" w:name="_Toc40246166"/>
      <w:bookmarkStart w:id="3266" w:name="_Toc40246822"/>
      <w:bookmarkStart w:id="3267" w:name="_Toc40247736"/>
      <w:bookmarkStart w:id="3268" w:name="_Toc40248262"/>
      <w:bookmarkStart w:id="3269" w:name="_Toc40248789"/>
      <w:bookmarkStart w:id="3270" w:name="_Toc40249909"/>
      <w:bookmarkStart w:id="3271" w:name="_Toc40251677"/>
      <w:bookmarkStart w:id="3272" w:name="_Toc40256787"/>
      <w:bookmarkStart w:id="3273" w:name="_Toc40246167"/>
      <w:bookmarkStart w:id="3274" w:name="_Toc40246823"/>
      <w:bookmarkStart w:id="3275" w:name="_Toc40247737"/>
      <w:bookmarkStart w:id="3276" w:name="_Toc40248263"/>
      <w:bookmarkStart w:id="3277" w:name="_Toc40248790"/>
      <w:bookmarkStart w:id="3278" w:name="_Toc40249910"/>
      <w:bookmarkStart w:id="3279" w:name="_Toc40251678"/>
      <w:bookmarkStart w:id="3280" w:name="_Toc40256788"/>
      <w:bookmarkStart w:id="3281" w:name="_Toc40246168"/>
      <w:bookmarkStart w:id="3282" w:name="_Toc40246824"/>
      <w:bookmarkStart w:id="3283" w:name="_Toc40247738"/>
      <w:bookmarkStart w:id="3284" w:name="_Toc40248264"/>
      <w:bookmarkStart w:id="3285" w:name="_Toc40248791"/>
      <w:bookmarkStart w:id="3286" w:name="_Toc40249911"/>
      <w:bookmarkStart w:id="3287" w:name="_Toc40251679"/>
      <w:bookmarkStart w:id="3288" w:name="_Toc40256789"/>
      <w:bookmarkStart w:id="3289" w:name="_Toc40246169"/>
      <w:bookmarkStart w:id="3290" w:name="_Toc40246825"/>
      <w:bookmarkStart w:id="3291" w:name="_Toc40247739"/>
      <w:bookmarkStart w:id="3292" w:name="_Toc40248265"/>
      <w:bookmarkStart w:id="3293" w:name="_Toc40248792"/>
      <w:bookmarkStart w:id="3294" w:name="_Toc40249912"/>
      <w:bookmarkStart w:id="3295" w:name="_Toc40251680"/>
      <w:bookmarkStart w:id="3296" w:name="_Toc40256790"/>
      <w:bookmarkStart w:id="3297" w:name="_Toc40246170"/>
      <w:bookmarkStart w:id="3298" w:name="_Toc40246826"/>
      <w:bookmarkStart w:id="3299" w:name="_Toc40247740"/>
      <w:bookmarkStart w:id="3300" w:name="_Toc40248266"/>
      <w:bookmarkStart w:id="3301" w:name="_Toc40248793"/>
      <w:bookmarkStart w:id="3302" w:name="_Toc40249913"/>
      <w:bookmarkStart w:id="3303" w:name="_Toc40251681"/>
      <w:bookmarkStart w:id="3304" w:name="_Toc40256791"/>
      <w:bookmarkStart w:id="3305" w:name="_Toc40246171"/>
      <w:bookmarkStart w:id="3306" w:name="_Toc40246827"/>
      <w:bookmarkStart w:id="3307" w:name="_Toc40247741"/>
      <w:bookmarkStart w:id="3308" w:name="_Toc40248267"/>
      <w:bookmarkStart w:id="3309" w:name="_Toc40248794"/>
      <w:bookmarkStart w:id="3310" w:name="_Toc40249914"/>
      <w:bookmarkStart w:id="3311" w:name="_Toc40251682"/>
      <w:bookmarkStart w:id="3312" w:name="_Toc40256792"/>
      <w:bookmarkStart w:id="3313" w:name="_Toc40246172"/>
      <w:bookmarkStart w:id="3314" w:name="_Toc40246828"/>
      <w:bookmarkStart w:id="3315" w:name="_Toc40247742"/>
      <w:bookmarkStart w:id="3316" w:name="_Toc40248268"/>
      <w:bookmarkStart w:id="3317" w:name="_Toc40248795"/>
      <w:bookmarkStart w:id="3318" w:name="_Toc40249915"/>
      <w:bookmarkStart w:id="3319" w:name="_Toc40251683"/>
      <w:bookmarkStart w:id="3320" w:name="_Toc40256793"/>
      <w:bookmarkStart w:id="3321" w:name="_Toc40246173"/>
      <w:bookmarkStart w:id="3322" w:name="_Toc40246829"/>
      <w:bookmarkStart w:id="3323" w:name="_Toc40247743"/>
      <w:bookmarkStart w:id="3324" w:name="_Toc40248269"/>
      <w:bookmarkStart w:id="3325" w:name="_Toc40248796"/>
      <w:bookmarkStart w:id="3326" w:name="_Toc40249916"/>
      <w:bookmarkStart w:id="3327" w:name="_Toc40251684"/>
      <w:bookmarkStart w:id="3328" w:name="_Toc40256794"/>
      <w:bookmarkStart w:id="3329" w:name="_Toc40246174"/>
      <w:bookmarkStart w:id="3330" w:name="_Toc40246830"/>
      <w:bookmarkStart w:id="3331" w:name="_Toc40247744"/>
      <w:bookmarkStart w:id="3332" w:name="_Toc40248270"/>
      <w:bookmarkStart w:id="3333" w:name="_Toc40248797"/>
      <w:bookmarkStart w:id="3334" w:name="_Toc40249917"/>
      <w:bookmarkStart w:id="3335" w:name="_Toc40251685"/>
      <w:bookmarkStart w:id="3336" w:name="_Toc40256795"/>
      <w:bookmarkStart w:id="3337" w:name="_Toc40215763"/>
      <w:bookmarkStart w:id="3338" w:name="_Toc40216456"/>
      <w:bookmarkStart w:id="3339" w:name="_Toc40217073"/>
      <w:bookmarkStart w:id="3340" w:name="_Toc40217695"/>
      <w:bookmarkStart w:id="3341" w:name="_Toc40218316"/>
      <w:bookmarkStart w:id="3342" w:name="_Toc40246175"/>
      <w:bookmarkStart w:id="3343" w:name="_Toc40246831"/>
      <w:bookmarkStart w:id="3344" w:name="_Toc40247745"/>
      <w:bookmarkStart w:id="3345" w:name="_Toc40248271"/>
      <w:bookmarkStart w:id="3346" w:name="_Toc40248798"/>
      <w:bookmarkStart w:id="3347" w:name="_Toc40249918"/>
      <w:bookmarkStart w:id="3348" w:name="_Toc40251686"/>
      <w:bookmarkStart w:id="3349" w:name="_Toc40256796"/>
      <w:bookmarkStart w:id="3350" w:name="_Toc40215764"/>
      <w:bookmarkStart w:id="3351" w:name="_Toc40216457"/>
      <w:bookmarkStart w:id="3352" w:name="_Toc40217074"/>
      <w:bookmarkStart w:id="3353" w:name="_Toc40217696"/>
      <w:bookmarkStart w:id="3354" w:name="_Toc40218317"/>
      <w:bookmarkStart w:id="3355" w:name="_Toc40246176"/>
      <w:bookmarkStart w:id="3356" w:name="_Toc40246832"/>
      <w:bookmarkStart w:id="3357" w:name="_Toc40247746"/>
      <w:bookmarkStart w:id="3358" w:name="_Toc40248272"/>
      <w:bookmarkStart w:id="3359" w:name="_Toc40248799"/>
      <w:bookmarkStart w:id="3360" w:name="_Toc40249919"/>
      <w:bookmarkStart w:id="3361" w:name="_Toc40251687"/>
      <w:bookmarkStart w:id="3362" w:name="_Toc40256797"/>
      <w:bookmarkStart w:id="3363" w:name="_Toc40215765"/>
      <w:bookmarkStart w:id="3364" w:name="_Toc40216458"/>
      <w:bookmarkStart w:id="3365" w:name="_Toc40217075"/>
      <w:bookmarkStart w:id="3366" w:name="_Toc40217697"/>
      <w:bookmarkStart w:id="3367" w:name="_Toc40218318"/>
      <w:bookmarkStart w:id="3368" w:name="_Toc40246177"/>
      <w:bookmarkStart w:id="3369" w:name="_Toc40246833"/>
      <w:bookmarkStart w:id="3370" w:name="_Toc40247747"/>
      <w:bookmarkStart w:id="3371" w:name="_Toc40248273"/>
      <w:bookmarkStart w:id="3372" w:name="_Toc40248800"/>
      <w:bookmarkStart w:id="3373" w:name="_Toc40249920"/>
      <w:bookmarkStart w:id="3374" w:name="_Toc40251688"/>
      <w:bookmarkStart w:id="3375" w:name="_Toc40256798"/>
      <w:bookmarkStart w:id="3376" w:name="_Toc40215766"/>
      <w:bookmarkStart w:id="3377" w:name="_Toc40216459"/>
      <w:bookmarkStart w:id="3378" w:name="_Toc40217076"/>
      <w:bookmarkStart w:id="3379" w:name="_Toc40217698"/>
      <w:bookmarkStart w:id="3380" w:name="_Toc40218319"/>
      <w:bookmarkStart w:id="3381" w:name="_Toc40246178"/>
      <w:bookmarkStart w:id="3382" w:name="_Toc40246834"/>
      <w:bookmarkStart w:id="3383" w:name="_Toc40247748"/>
      <w:bookmarkStart w:id="3384" w:name="_Toc40248274"/>
      <w:bookmarkStart w:id="3385" w:name="_Toc40248801"/>
      <w:bookmarkStart w:id="3386" w:name="_Toc40249921"/>
      <w:bookmarkStart w:id="3387" w:name="_Toc40251689"/>
      <w:bookmarkStart w:id="3388" w:name="_Toc40256799"/>
      <w:bookmarkStart w:id="3389" w:name="_Toc41325423"/>
      <w:bookmarkStart w:id="3390" w:name="_Toc41332832"/>
      <w:bookmarkStart w:id="3391" w:name="_Toc41412010"/>
      <w:bookmarkStart w:id="3392" w:name="_Toc41651973"/>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r>
        <w:t xml:space="preserve">Criminal </w:t>
      </w:r>
      <w:r w:rsidR="004E43AF">
        <w:t>j</w:t>
      </w:r>
      <w:r>
        <w:t>ustice</w:t>
      </w:r>
      <w:bookmarkEnd w:id="3389"/>
      <w:bookmarkEnd w:id="3390"/>
      <w:bookmarkEnd w:id="3391"/>
      <w:bookmarkEnd w:id="3392"/>
    </w:p>
    <w:p w14:paraId="442F3DE0" w14:textId="31320501" w:rsidR="00BB7A80" w:rsidRPr="004F7C7B" w:rsidRDefault="00BB7A80" w:rsidP="004F7C7B">
      <w:pPr>
        <w:keepNext/>
        <w:spacing w:line="276" w:lineRule="auto"/>
        <w:rPr>
          <w:szCs w:val="22"/>
        </w:rPr>
      </w:pPr>
      <w:r>
        <w:rPr>
          <w:rFonts w:cs="Arial"/>
          <w:szCs w:val="22"/>
          <w:lang w:eastAsia="en-AU"/>
        </w:rPr>
        <w:t xml:space="preserve">VLA supports </w:t>
      </w:r>
      <w:r w:rsidR="000F7435">
        <w:rPr>
          <w:rFonts w:cs="Arial"/>
          <w:szCs w:val="22"/>
          <w:lang w:eastAsia="en-AU"/>
        </w:rPr>
        <w:t>measures that will</w:t>
      </w:r>
      <w:r w:rsidRPr="00BB7A80">
        <w:rPr>
          <w:rFonts w:cs="Arial"/>
          <w:szCs w:val="22"/>
          <w:lang w:eastAsia="en-AU"/>
        </w:rPr>
        <w:t xml:space="preserve"> reduce the number of people with mental health issues entering the criminal and youth justice systems</w:t>
      </w:r>
      <w:r w:rsidR="00E9771C" w:rsidRPr="00E9771C">
        <w:rPr>
          <w:rFonts w:cs="Arial"/>
          <w:szCs w:val="22"/>
          <w:lang w:eastAsia="en-AU"/>
        </w:rPr>
        <w:t xml:space="preserve"> </w:t>
      </w:r>
      <w:r w:rsidR="00E9771C">
        <w:rPr>
          <w:rFonts w:cs="Arial"/>
          <w:szCs w:val="22"/>
          <w:lang w:eastAsia="en-AU"/>
        </w:rPr>
        <w:t>and reduce the harm of criminal justice involvement for people experiencing mental health issues.</w:t>
      </w:r>
      <w:r w:rsidR="00E9771C">
        <w:rPr>
          <w:rStyle w:val="FootnoteReference"/>
          <w:rFonts w:cs="Arial"/>
          <w:szCs w:val="22"/>
          <w:lang w:eastAsia="en-AU"/>
        </w:rPr>
        <w:footnoteReference w:id="144"/>
      </w:r>
      <w:r w:rsidRPr="00BB7A80">
        <w:rPr>
          <w:rFonts w:cs="Arial"/>
          <w:szCs w:val="22"/>
          <w:lang w:eastAsia="en-AU"/>
        </w:rPr>
        <w:t xml:space="preserve"> </w:t>
      </w:r>
      <w:r>
        <w:rPr>
          <w:rFonts w:cs="Arial"/>
          <w:szCs w:val="22"/>
          <w:lang w:eastAsia="en-AU"/>
        </w:rPr>
        <w:t xml:space="preserve">This includes </w:t>
      </w:r>
      <w:r w:rsidRPr="00BB7A80">
        <w:rPr>
          <w:rFonts w:cs="Arial"/>
          <w:szCs w:val="22"/>
          <w:lang w:eastAsia="en-AU"/>
        </w:rPr>
        <w:t xml:space="preserve">increased access to diversion, therapeutic programs and courts, community-based sentencing options, and appropriate mental health facilities in custody, including dedicated forensic facilities. </w:t>
      </w:r>
      <w:r>
        <w:t xml:space="preserve">People should </w:t>
      </w:r>
      <w:r w:rsidR="004430BD">
        <w:t>also</w:t>
      </w:r>
      <w:r>
        <w:t xml:space="preserve"> be supported to </w:t>
      </w:r>
      <w:r w:rsidR="00BD4683">
        <w:t xml:space="preserve">access </w:t>
      </w:r>
      <w:r>
        <w:t>rehabilitat</w:t>
      </w:r>
      <w:r w:rsidR="00372730">
        <w:t>ion and</w:t>
      </w:r>
      <w:r>
        <w:t xml:space="preserve"> recover</w:t>
      </w:r>
      <w:r w:rsidR="00372730">
        <w:t>y</w:t>
      </w:r>
      <w:r w:rsidR="000F7435">
        <w:t>-</w:t>
      </w:r>
      <w:r w:rsidR="00372730">
        <w:t>based services</w:t>
      </w:r>
      <w:r>
        <w:t xml:space="preserve"> and live </w:t>
      </w:r>
      <w:r w:rsidR="007C6FBB">
        <w:t>well</w:t>
      </w:r>
      <w:r>
        <w:t xml:space="preserve"> in the community.</w:t>
      </w:r>
    </w:p>
    <w:p w14:paraId="32025FD7" w14:textId="56A65876" w:rsidR="0079294E" w:rsidRPr="00D320CC" w:rsidRDefault="0079294E" w:rsidP="0079294E">
      <w:pPr>
        <w:rPr>
          <w:szCs w:val="22"/>
        </w:rPr>
      </w:pPr>
      <w:r>
        <w:t>People</w:t>
      </w:r>
      <w:r w:rsidRPr="00F207E3">
        <w:t xml:space="preserve"> experiencing mental health issues are at greater risk of contact with the justice system and are overrepresented in the prison population</w:t>
      </w:r>
      <w:r>
        <w:t>.</w:t>
      </w:r>
      <w:r>
        <w:rPr>
          <w:rStyle w:val="FootnoteReference"/>
        </w:rPr>
        <w:footnoteReference w:id="145"/>
      </w:r>
      <w:r>
        <w:t xml:space="preserve"> </w:t>
      </w:r>
      <w:r w:rsidRPr="00F207E3">
        <w:t>This carries a significant cost to the</w:t>
      </w:r>
      <w:r>
        <w:t>ir</w:t>
      </w:r>
      <w:r w:rsidRPr="00F207E3">
        <w:t xml:space="preserve"> health and wellbeing and places significant demands on limited public resources through the direct cost of </w:t>
      </w:r>
      <w:r w:rsidRPr="00F207E3">
        <w:lastRenderedPageBreak/>
        <w:t>imprisonment</w:t>
      </w:r>
      <w:r w:rsidRPr="00F207E3">
        <w:rPr>
          <w:rStyle w:val="FootnoteReference"/>
          <w:sz w:val="20"/>
        </w:rPr>
        <w:footnoteReference w:id="146"/>
      </w:r>
      <w:r w:rsidRPr="00F207E3">
        <w:t xml:space="preserve"> and the indirect consequences of imprisonment on the </w:t>
      </w:r>
      <w:r>
        <w:t>person</w:t>
      </w:r>
      <w:r w:rsidRPr="00F207E3">
        <w:t>, their famil</w:t>
      </w:r>
      <w:r>
        <w:t>y</w:t>
      </w:r>
      <w:r w:rsidRPr="00F207E3">
        <w:t xml:space="preserve"> and the </w:t>
      </w:r>
      <w:r w:rsidRPr="00D320CC">
        <w:rPr>
          <w:szCs w:val="22"/>
        </w:rPr>
        <w:t xml:space="preserve">community. </w:t>
      </w:r>
    </w:p>
    <w:p w14:paraId="546063BD" w14:textId="0410799B" w:rsidR="0079294E" w:rsidRDefault="0079294E" w:rsidP="0079294E">
      <w:pPr>
        <w:rPr>
          <w:szCs w:val="22"/>
        </w:rPr>
      </w:pPr>
      <w:r w:rsidRPr="00D320CC">
        <w:rPr>
          <w:szCs w:val="22"/>
        </w:rPr>
        <w:t xml:space="preserve">There are </w:t>
      </w:r>
      <w:proofErr w:type="gramStart"/>
      <w:r w:rsidRPr="00D320CC">
        <w:rPr>
          <w:szCs w:val="22"/>
        </w:rPr>
        <w:t>a number of</w:t>
      </w:r>
      <w:proofErr w:type="gramEnd"/>
      <w:r w:rsidRPr="00D320CC">
        <w:rPr>
          <w:szCs w:val="22"/>
        </w:rPr>
        <w:t xml:space="preserve"> factors that </w:t>
      </w:r>
      <w:r w:rsidR="00164D3E">
        <w:rPr>
          <w:szCs w:val="22"/>
        </w:rPr>
        <w:t>cast the net of the criminal justice system too wide,</w:t>
      </w:r>
      <w:r w:rsidR="00164D3E" w:rsidRPr="00D320CC">
        <w:rPr>
          <w:szCs w:val="22"/>
        </w:rPr>
        <w:t xml:space="preserve"> </w:t>
      </w:r>
      <w:r w:rsidRPr="00D320CC">
        <w:rPr>
          <w:szCs w:val="22"/>
        </w:rPr>
        <w:t>contribut</w:t>
      </w:r>
      <w:r w:rsidR="00164D3E">
        <w:rPr>
          <w:szCs w:val="22"/>
        </w:rPr>
        <w:t>ing</w:t>
      </w:r>
      <w:r w:rsidRPr="00D320CC">
        <w:rPr>
          <w:szCs w:val="22"/>
        </w:rPr>
        <w:t xml:space="preserve"> to overrepresentation</w:t>
      </w:r>
      <w:r>
        <w:rPr>
          <w:szCs w:val="22"/>
        </w:rPr>
        <w:t>, including:</w:t>
      </w:r>
    </w:p>
    <w:p w14:paraId="2F1E2EF5" w14:textId="618C9E2A" w:rsidR="0079294E" w:rsidRPr="00F22663" w:rsidRDefault="0079294E" w:rsidP="00904F90">
      <w:pPr>
        <w:pStyle w:val="Listbulletcoloured"/>
      </w:pPr>
      <w:r w:rsidRPr="00F22663">
        <w:t>overreliance on Victoria Police as first responders;</w:t>
      </w:r>
    </w:p>
    <w:p w14:paraId="6E89EC5E" w14:textId="77777777" w:rsidR="0079294E" w:rsidRPr="00F22663" w:rsidRDefault="0079294E" w:rsidP="00904F90">
      <w:pPr>
        <w:pStyle w:val="Listbulletcoloured"/>
      </w:pPr>
      <w:proofErr w:type="gramStart"/>
      <w:r w:rsidRPr="00F22663">
        <w:t>particular vulnerabilities</w:t>
      </w:r>
      <w:proofErr w:type="gramEnd"/>
      <w:r w:rsidRPr="00F22663">
        <w:t xml:space="preserve"> of people experiencing mental health issues when in contact with enforcement and prosecution agencies;</w:t>
      </w:r>
    </w:p>
    <w:p w14:paraId="2DA6E9CA" w14:textId="0E2EEB80" w:rsidR="0079294E" w:rsidRPr="00F22663" w:rsidRDefault="0079294E" w:rsidP="00904F90">
      <w:pPr>
        <w:pStyle w:val="Listbulletcoloured"/>
      </w:pPr>
      <w:r w:rsidRPr="00F22663">
        <w:t>criminalisation of minor offending (e</w:t>
      </w:r>
      <w:r w:rsidR="002C0248">
        <w:t>.</w:t>
      </w:r>
      <w:r w:rsidRPr="00F22663">
        <w:t>g</w:t>
      </w:r>
      <w:r w:rsidR="002C0248">
        <w:t>.</w:t>
      </w:r>
      <w:r w:rsidRPr="00F22663">
        <w:t xml:space="preserve"> begging and drug use); and</w:t>
      </w:r>
    </w:p>
    <w:p w14:paraId="202391F3" w14:textId="532B963B" w:rsidR="0079294E" w:rsidRPr="00F22663" w:rsidRDefault="0079294E" w:rsidP="00904F90">
      <w:pPr>
        <w:pStyle w:val="Listbulletcoloured"/>
      </w:pPr>
      <w:r w:rsidRPr="00F22663">
        <w:t>people being remanded for minor offending which would</w:t>
      </w:r>
      <w:r w:rsidR="00164D3E" w:rsidRPr="00F22663">
        <w:t xml:space="preserve"> </w:t>
      </w:r>
      <w:r w:rsidRPr="00F22663">
        <w:t>n</w:t>
      </w:r>
      <w:r w:rsidR="00164D3E" w:rsidRPr="00F22663">
        <w:t>o</w:t>
      </w:r>
      <w:r w:rsidRPr="00F22663">
        <w:t>t attract imprisonment.</w:t>
      </w:r>
    </w:p>
    <w:p w14:paraId="0FA2DEC3" w14:textId="325BBF9F" w:rsidR="0079294E" w:rsidRPr="00D320CC" w:rsidRDefault="0079294E" w:rsidP="0079294E">
      <w:pPr>
        <w:rPr>
          <w:szCs w:val="22"/>
        </w:rPr>
      </w:pPr>
      <w:r>
        <w:rPr>
          <w:szCs w:val="22"/>
        </w:rPr>
        <w:t xml:space="preserve">Once </w:t>
      </w:r>
      <w:r w:rsidRPr="00D320CC">
        <w:rPr>
          <w:szCs w:val="22"/>
        </w:rPr>
        <w:t>drawn into the criminal justice net</w:t>
      </w:r>
      <w:r>
        <w:rPr>
          <w:szCs w:val="22"/>
        </w:rPr>
        <w:t>, th</w:t>
      </w:r>
      <w:r w:rsidRPr="00D320CC">
        <w:rPr>
          <w:szCs w:val="22"/>
        </w:rPr>
        <w:t xml:space="preserve">e mainstream system </w:t>
      </w:r>
      <w:r>
        <w:rPr>
          <w:szCs w:val="22"/>
        </w:rPr>
        <w:t xml:space="preserve">is not resourced or equipped </w:t>
      </w:r>
      <w:r w:rsidRPr="00D320CC">
        <w:rPr>
          <w:szCs w:val="22"/>
        </w:rPr>
        <w:t xml:space="preserve">to </w:t>
      </w:r>
      <w:r>
        <w:t xml:space="preserve">support people with mental health issues to participate </w:t>
      </w:r>
      <w:r w:rsidR="006862EE">
        <w:t>or</w:t>
      </w:r>
      <w:r>
        <w:t xml:space="preserve"> </w:t>
      </w:r>
      <w:r w:rsidR="006862EE">
        <w:t xml:space="preserve">to </w:t>
      </w:r>
      <w:r>
        <w:rPr>
          <w:szCs w:val="22"/>
        </w:rPr>
        <w:t>provide tailored and responsive pathways from punishment to treatment</w:t>
      </w:r>
      <w:r w:rsidRPr="00D320CC">
        <w:rPr>
          <w:szCs w:val="22"/>
        </w:rPr>
        <w:t>.</w:t>
      </w:r>
      <w:r>
        <w:rPr>
          <w:szCs w:val="22"/>
        </w:rPr>
        <w:t xml:space="preserve"> I</w:t>
      </w:r>
      <w:r w:rsidRPr="00D320CC">
        <w:rPr>
          <w:szCs w:val="22"/>
        </w:rPr>
        <w:t xml:space="preserve">nsufficient access to treatment in custody and insufficient </w:t>
      </w:r>
      <w:r>
        <w:rPr>
          <w:szCs w:val="22"/>
        </w:rPr>
        <w:t xml:space="preserve">supervision and </w:t>
      </w:r>
      <w:r w:rsidRPr="00D320CC">
        <w:rPr>
          <w:szCs w:val="22"/>
        </w:rPr>
        <w:t>supports upon leaving custody</w:t>
      </w:r>
      <w:r>
        <w:rPr>
          <w:szCs w:val="22"/>
        </w:rPr>
        <w:t xml:space="preserve">, including </w:t>
      </w:r>
      <w:r w:rsidRPr="00D320CC">
        <w:rPr>
          <w:szCs w:val="22"/>
        </w:rPr>
        <w:t>access to stable housing</w:t>
      </w:r>
      <w:r>
        <w:rPr>
          <w:szCs w:val="22"/>
        </w:rPr>
        <w:t>,</w:t>
      </w:r>
      <w:r w:rsidRPr="00D320CC">
        <w:rPr>
          <w:szCs w:val="22"/>
        </w:rPr>
        <w:t xml:space="preserve"> mean that people </w:t>
      </w:r>
      <w:r>
        <w:rPr>
          <w:szCs w:val="22"/>
        </w:rPr>
        <w:t xml:space="preserve">do not transition into stable lives and may relapse into crisis, </w:t>
      </w:r>
      <w:r w:rsidRPr="00D320CC">
        <w:rPr>
          <w:szCs w:val="22"/>
        </w:rPr>
        <w:t xml:space="preserve">and </w:t>
      </w:r>
      <w:r>
        <w:rPr>
          <w:szCs w:val="22"/>
        </w:rPr>
        <w:t xml:space="preserve">may </w:t>
      </w:r>
      <w:r w:rsidRPr="00D320CC">
        <w:rPr>
          <w:szCs w:val="22"/>
        </w:rPr>
        <w:t xml:space="preserve">find themselves </w:t>
      </w:r>
      <w:r>
        <w:rPr>
          <w:szCs w:val="22"/>
        </w:rPr>
        <w:t xml:space="preserve">returning to </w:t>
      </w:r>
      <w:r w:rsidRPr="00D320CC">
        <w:rPr>
          <w:szCs w:val="22"/>
        </w:rPr>
        <w:t>the system.</w:t>
      </w:r>
    </w:p>
    <w:p w14:paraId="76489D41" w14:textId="4A2F2695" w:rsidR="0079294E" w:rsidRDefault="0079294E" w:rsidP="0079294E">
      <w:pPr>
        <w:rPr>
          <w:szCs w:val="22"/>
        </w:rPr>
      </w:pPr>
      <w:r>
        <w:rPr>
          <w:szCs w:val="22"/>
        </w:rPr>
        <w:t>The over</w:t>
      </w:r>
      <w:r w:rsidRPr="00C55801">
        <w:rPr>
          <w:szCs w:val="22"/>
        </w:rPr>
        <w:t xml:space="preserve">representation </w:t>
      </w:r>
      <w:r>
        <w:rPr>
          <w:szCs w:val="22"/>
        </w:rPr>
        <w:t xml:space="preserve">of people experiencing mental health issues in Victoria’s criminal justice system </w:t>
      </w:r>
      <w:r w:rsidRPr="00C55801">
        <w:rPr>
          <w:szCs w:val="22"/>
        </w:rPr>
        <w:t xml:space="preserve">can be addressed </w:t>
      </w:r>
      <w:r w:rsidR="00D27F46">
        <w:rPr>
          <w:szCs w:val="22"/>
        </w:rPr>
        <w:t>by</w:t>
      </w:r>
      <w:r>
        <w:rPr>
          <w:szCs w:val="22"/>
        </w:rPr>
        <w:t>:</w:t>
      </w:r>
    </w:p>
    <w:p w14:paraId="080CB9D8" w14:textId="587B8D79" w:rsidR="0079294E" w:rsidRDefault="0079294E" w:rsidP="00904F90">
      <w:pPr>
        <w:pStyle w:val="Listbulletcoloured"/>
      </w:pPr>
      <w:r>
        <w:t xml:space="preserve">diverting people away from </w:t>
      </w:r>
      <w:r w:rsidRPr="003009D1">
        <w:t>entry points into the</w:t>
      </w:r>
      <w:r>
        <w:t xml:space="preserve"> criminal justice</w:t>
      </w:r>
      <w:r w:rsidRPr="003009D1">
        <w:t xml:space="preserve"> system </w:t>
      </w:r>
      <w:r>
        <w:t xml:space="preserve">to </w:t>
      </w:r>
      <w:r w:rsidRPr="003009D1">
        <w:t>reduc</w:t>
      </w:r>
      <w:r>
        <w:t>e</w:t>
      </w:r>
      <w:r w:rsidRPr="003009D1">
        <w:t xml:space="preserve"> the frequency and intensity of</w:t>
      </w:r>
      <w:r>
        <w:t xml:space="preserve"> engagement;</w:t>
      </w:r>
    </w:p>
    <w:p w14:paraId="369BD2A2" w14:textId="2B0D5F11" w:rsidR="0079294E" w:rsidRDefault="001B1FF3" w:rsidP="00904F90">
      <w:pPr>
        <w:pStyle w:val="Listbulletcoloured"/>
      </w:pPr>
      <w:r>
        <w:t xml:space="preserve">resourcing </w:t>
      </w:r>
      <w:r w:rsidR="0079294E">
        <w:t xml:space="preserve">early intervention </w:t>
      </w:r>
      <w:r>
        <w:t xml:space="preserve">programs and services </w:t>
      </w:r>
      <w:r w:rsidR="0079294E">
        <w:t>to</w:t>
      </w:r>
      <w:r w:rsidR="0079294E" w:rsidRPr="003009D1">
        <w:t xml:space="preserve"> deal with underlying causes of offending and support recovery</w:t>
      </w:r>
      <w:r w:rsidR="0079294E">
        <w:t>;</w:t>
      </w:r>
    </w:p>
    <w:p w14:paraId="4687077C" w14:textId="7D8778C5" w:rsidR="0079294E" w:rsidRDefault="0079294E" w:rsidP="00904F90">
      <w:pPr>
        <w:pStyle w:val="Listbulletcoloured"/>
      </w:pPr>
      <w:r>
        <w:t>implementing a therapeutic</w:t>
      </w:r>
      <w:r w:rsidR="000A2512">
        <w:t>ally</w:t>
      </w:r>
      <w:r>
        <w:t xml:space="preserve"> </w:t>
      </w:r>
      <w:r w:rsidR="000A2512">
        <w:t>oriented</w:t>
      </w:r>
      <w:r>
        <w:t xml:space="preserve"> criminal justice system </w:t>
      </w:r>
      <w:r w:rsidR="000A2512">
        <w:t xml:space="preserve">in which there is </w:t>
      </w:r>
      <w:r w:rsidRPr="007A7F6B">
        <w:t xml:space="preserve">time and </w:t>
      </w:r>
      <w:r w:rsidR="00F13475">
        <w:t xml:space="preserve">space </w:t>
      </w:r>
      <w:r w:rsidRPr="007A7F6B">
        <w:t xml:space="preserve">to </w:t>
      </w:r>
      <w:r>
        <w:t xml:space="preserve">support a person’s mental health and connected issues, and </w:t>
      </w:r>
      <w:r w:rsidR="00226953">
        <w:t>i</w:t>
      </w:r>
      <w:r>
        <w:t>ndividually tailored and recovery focused sentences;</w:t>
      </w:r>
    </w:p>
    <w:p w14:paraId="693ADE60" w14:textId="53D3D0FE" w:rsidR="0079294E" w:rsidRDefault="00A97E6E" w:rsidP="00904F90">
      <w:pPr>
        <w:pStyle w:val="Listbulletcoloured"/>
      </w:pPr>
      <w:r>
        <w:t xml:space="preserve">enabling </w:t>
      </w:r>
      <w:r w:rsidR="0079294E" w:rsidRPr="003009D1">
        <w:t>rehabilitation and recovery while in custody</w:t>
      </w:r>
      <w:r w:rsidR="0079294E">
        <w:t xml:space="preserve"> through appropriate facilities, treatment and programs; and</w:t>
      </w:r>
    </w:p>
    <w:p w14:paraId="7864CE12" w14:textId="44D8FC14" w:rsidR="0079294E" w:rsidRPr="003009D1" w:rsidRDefault="0079294E" w:rsidP="00904F90">
      <w:pPr>
        <w:pStyle w:val="Listbulletcoloured"/>
      </w:pPr>
      <w:r>
        <w:t>s</w:t>
      </w:r>
      <w:r w:rsidRPr="003009D1">
        <w:t>upport</w:t>
      </w:r>
      <w:r>
        <w:t>ing</w:t>
      </w:r>
      <w:r w:rsidRPr="003009D1">
        <w:t xml:space="preserve"> exit</w:t>
      </w:r>
      <w:r>
        <w:t>s</w:t>
      </w:r>
      <w:r w:rsidRPr="003009D1">
        <w:t xml:space="preserve"> </w:t>
      </w:r>
      <w:r>
        <w:t>from custody to</w:t>
      </w:r>
      <w:r w:rsidRPr="003009D1">
        <w:t xml:space="preserve"> stable</w:t>
      </w:r>
      <w:r>
        <w:t xml:space="preserve"> community supports, averting </w:t>
      </w:r>
      <w:r w:rsidRPr="003009D1">
        <w:t>further cris</w:t>
      </w:r>
      <w:r>
        <w:t>es</w:t>
      </w:r>
      <w:r w:rsidRPr="003009D1">
        <w:t xml:space="preserve"> and reduc</w:t>
      </w:r>
      <w:r>
        <w:t>ing</w:t>
      </w:r>
      <w:r w:rsidRPr="003009D1">
        <w:t xml:space="preserve"> recidivism. </w:t>
      </w:r>
    </w:p>
    <w:p w14:paraId="271A089A" w14:textId="77777777" w:rsidR="00271096" w:rsidRDefault="00271096">
      <w:pPr>
        <w:pStyle w:val="Heading2"/>
      </w:pPr>
      <w:bookmarkStart w:id="3393" w:name="_Toc40215786"/>
      <w:bookmarkStart w:id="3394" w:name="_Toc40216479"/>
      <w:bookmarkStart w:id="3395" w:name="_Toc40217096"/>
      <w:bookmarkStart w:id="3396" w:name="_Toc40217718"/>
      <w:bookmarkStart w:id="3397" w:name="_Toc40218339"/>
      <w:bookmarkStart w:id="3398" w:name="_Toc40246198"/>
      <w:bookmarkStart w:id="3399" w:name="_Toc40246854"/>
      <w:bookmarkStart w:id="3400" w:name="_Toc40247768"/>
      <w:bookmarkStart w:id="3401" w:name="_Toc40248294"/>
      <w:bookmarkStart w:id="3402" w:name="_Toc40248821"/>
      <w:bookmarkStart w:id="3403" w:name="_Toc40249941"/>
      <w:bookmarkStart w:id="3404" w:name="_Toc40251709"/>
      <w:bookmarkStart w:id="3405" w:name="_Toc40256819"/>
      <w:bookmarkStart w:id="3406" w:name="_Toc40215787"/>
      <w:bookmarkStart w:id="3407" w:name="_Toc40216480"/>
      <w:bookmarkStart w:id="3408" w:name="_Toc40217097"/>
      <w:bookmarkStart w:id="3409" w:name="_Toc40217719"/>
      <w:bookmarkStart w:id="3410" w:name="_Toc40218340"/>
      <w:bookmarkStart w:id="3411" w:name="_Toc40246199"/>
      <w:bookmarkStart w:id="3412" w:name="_Toc40246855"/>
      <w:bookmarkStart w:id="3413" w:name="_Toc40247769"/>
      <w:bookmarkStart w:id="3414" w:name="_Toc40248295"/>
      <w:bookmarkStart w:id="3415" w:name="_Toc40248822"/>
      <w:bookmarkStart w:id="3416" w:name="_Toc40249942"/>
      <w:bookmarkStart w:id="3417" w:name="_Toc40251710"/>
      <w:bookmarkStart w:id="3418" w:name="_Toc40256820"/>
      <w:bookmarkStart w:id="3419" w:name="_Toc40215788"/>
      <w:bookmarkStart w:id="3420" w:name="_Toc40216481"/>
      <w:bookmarkStart w:id="3421" w:name="_Toc40217098"/>
      <w:bookmarkStart w:id="3422" w:name="_Toc40217720"/>
      <w:bookmarkStart w:id="3423" w:name="_Toc40218341"/>
      <w:bookmarkStart w:id="3424" w:name="_Toc40246200"/>
      <w:bookmarkStart w:id="3425" w:name="_Toc40246856"/>
      <w:bookmarkStart w:id="3426" w:name="_Toc40247770"/>
      <w:bookmarkStart w:id="3427" w:name="_Toc40248296"/>
      <w:bookmarkStart w:id="3428" w:name="_Toc40248823"/>
      <w:bookmarkStart w:id="3429" w:name="_Toc40249943"/>
      <w:bookmarkStart w:id="3430" w:name="_Toc40251711"/>
      <w:bookmarkStart w:id="3431" w:name="_Toc40256821"/>
      <w:bookmarkStart w:id="3432" w:name="_Toc40215789"/>
      <w:bookmarkStart w:id="3433" w:name="_Toc40216482"/>
      <w:bookmarkStart w:id="3434" w:name="_Toc40217099"/>
      <w:bookmarkStart w:id="3435" w:name="_Toc40217721"/>
      <w:bookmarkStart w:id="3436" w:name="_Toc40218342"/>
      <w:bookmarkStart w:id="3437" w:name="_Toc40246201"/>
      <w:bookmarkStart w:id="3438" w:name="_Toc40246857"/>
      <w:bookmarkStart w:id="3439" w:name="_Toc40247771"/>
      <w:bookmarkStart w:id="3440" w:name="_Toc40248297"/>
      <w:bookmarkStart w:id="3441" w:name="_Toc40248824"/>
      <w:bookmarkStart w:id="3442" w:name="_Toc40249944"/>
      <w:bookmarkStart w:id="3443" w:name="_Toc40251712"/>
      <w:bookmarkStart w:id="3444" w:name="_Toc40256822"/>
      <w:bookmarkStart w:id="3445" w:name="_Toc40215790"/>
      <w:bookmarkStart w:id="3446" w:name="_Toc40216483"/>
      <w:bookmarkStart w:id="3447" w:name="_Toc40217100"/>
      <w:bookmarkStart w:id="3448" w:name="_Toc40217722"/>
      <w:bookmarkStart w:id="3449" w:name="_Toc40218343"/>
      <w:bookmarkStart w:id="3450" w:name="_Toc40246202"/>
      <w:bookmarkStart w:id="3451" w:name="_Toc40246858"/>
      <w:bookmarkStart w:id="3452" w:name="_Toc40247772"/>
      <w:bookmarkStart w:id="3453" w:name="_Toc40248298"/>
      <w:bookmarkStart w:id="3454" w:name="_Toc40248825"/>
      <w:bookmarkStart w:id="3455" w:name="_Toc40249945"/>
      <w:bookmarkStart w:id="3456" w:name="_Toc40251713"/>
      <w:bookmarkStart w:id="3457" w:name="_Toc40256823"/>
      <w:bookmarkStart w:id="3458" w:name="_Toc40215791"/>
      <w:bookmarkStart w:id="3459" w:name="_Toc40216484"/>
      <w:bookmarkStart w:id="3460" w:name="_Toc40217101"/>
      <w:bookmarkStart w:id="3461" w:name="_Toc40217723"/>
      <w:bookmarkStart w:id="3462" w:name="_Toc40218344"/>
      <w:bookmarkStart w:id="3463" w:name="_Toc40246203"/>
      <w:bookmarkStart w:id="3464" w:name="_Toc40246859"/>
      <w:bookmarkStart w:id="3465" w:name="_Toc40247773"/>
      <w:bookmarkStart w:id="3466" w:name="_Toc40248299"/>
      <w:bookmarkStart w:id="3467" w:name="_Toc40248826"/>
      <w:bookmarkStart w:id="3468" w:name="_Toc40249946"/>
      <w:bookmarkStart w:id="3469" w:name="_Toc40251714"/>
      <w:bookmarkStart w:id="3470" w:name="_Toc40256824"/>
      <w:bookmarkStart w:id="3471" w:name="_Toc40215792"/>
      <w:bookmarkStart w:id="3472" w:name="_Toc40216485"/>
      <w:bookmarkStart w:id="3473" w:name="_Toc40217102"/>
      <w:bookmarkStart w:id="3474" w:name="_Toc40217724"/>
      <w:bookmarkStart w:id="3475" w:name="_Toc40218345"/>
      <w:bookmarkStart w:id="3476" w:name="_Toc40246204"/>
      <w:bookmarkStart w:id="3477" w:name="_Toc40246860"/>
      <w:bookmarkStart w:id="3478" w:name="_Toc40247774"/>
      <w:bookmarkStart w:id="3479" w:name="_Toc40248300"/>
      <w:bookmarkStart w:id="3480" w:name="_Toc40248827"/>
      <w:bookmarkStart w:id="3481" w:name="_Toc40249947"/>
      <w:bookmarkStart w:id="3482" w:name="_Toc40251715"/>
      <w:bookmarkStart w:id="3483" w:name="_Toc40256825"/>
      <w:bookmarkStart w:id="3484" w:name="_Toc40215793"/>
      <w:bookmarkStart w:id="3485" w:name="_Toc40216486"/>
      <w:bookmarkStart w:id="3486" w:name="_Toc40217103"/>
      <w:bookmarkStart w:id="3487" w:name="_Toc40217725"/>
      <w:bookmarkStart w:id="3488" w:name="_Toc40218346"/>
      <w:bookmarkStart w:id="3489" w:name="_Toc40246205"/>
      <w:bookmarkStart w:id="3490" w:name="_Toc40246861"/>
      <w:bookmarkStart w:id="3491" w:name="_Toc40247775"/>
      <w:bookmarkStart w:id="3492" w:name="_Toc40248301"/>
      <w:bookmarkStart w:id="3493" w:name="_Toc40248828"/>
      <w:bookmarkStart w:id="3494" w:name="_Toc40249948"/>
      <w:bookmarkStart w:id="3495" w:name="_Toc40251716"/>
      <w:bookmarkStart w:id="3496" w:name="_Toc40256826"/>
      <w:bookmarkStart w:id="3497" w:name="_Toc40215794"/>
      <w:bookmarkStart w:id="3498" w:name="_Toc40216487"/>
      <w:bookmarkStart w:id="3499" w:name="_Toc40217104"/>
      <w:bookmarkStart w:id="3500" w:name="_Toc40217726"/>
      <w:bookmarkStart w:id="3501" w:name="_Toc40218347"/>
      <w:bookmarkStart w:id="3502" w:name="_Toc40246206"/>
      <w:bookmarkStart w:id="3503" w:name="_Toc40246862"/>
      <w:bookmarkStart w:id="3504" w:name="_Toc40247776"/>
      <w:bookmarkStart w:id="3505" w:name="_Toc40248302"/>
      <w:bookmarkStart w:id="3506" w:name="_Toc40248829"/>
      <w:bookmarkStart w:id="3507" w:name="_Toc40249949"/>
      <w:bookmarkStart w:id="3508" w:name="_Toc40251717"/>
      <w:bookmarkStart w:id="3509" w:name="_Toc40256827"/>
      <w:bookmarkStart w:id="3510" w:name="_Toc40124927"/>
      <w:bookmarkStart w:id="3511" w:name="_Toc41651974"/>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r>
        <w:t>Community based responses to mental health issues</w:t>
      </w:r>
      <w:bookmarkEnd w:id="3510"/>
      <w:bookmarkEnd w:id="3511"/>
      <w:r>
        <w:t xml:space="preserve"> </w:t>
      </w:r>
    </w:p>
    <w:p w14:paraId="2CC8CD8B" w14:textId="08566AF4" w:rsidR="00271096" w:rsidRDefault="00BB7A80" w:rsidP="00243B74">
      <w:pPr>
        <w:pStyle w:val="Heading3"/>
      </w:pPr>
      <w:bookmarkStart w:id="3512" w:name="_Toc40124928"/>
      <w:r>
        <w:t>Prevent</w:t>
      </w:r>
      <w:r w:rsidR="003735CD">
        <w:t>i</w:t>
      </w:r>
      <w:r>
        <w:t xml:space="preserve">ng </w:t>
      </w:r>
      <w:r w:rsidR="00271096">
        <w:t>mental health crises before the police are called</w:t>
      </w:r>
      <w:bookmarkEnd w:id="3512"/>
    </w:p>
    <w:p w14:paraId="0EB64B62" w14:textId="634E8059" w:rsidR="004E2D4F" w:rsidRDefault="004E2D4F" w:rsidP="0079294E">
      <w:r>
        <w:t xml:space="preserve">In our </w:t>
      </w:r>
      <w:r>
        <w:rPr>
          <w:i/>
          <w:iCs/>
        </w:rPr>
        <w:t xml:space="preserve">Roads to Recovery </w:t>
      </w:r>
      <w:r>
        <w:t xml:space="preserve">submission and response to the </w:t>
      </w:r>
      <w:r w:rsidR="002B4E01">
        <w:t>Productivit</w:t>
      </w:r>
      <w:r w:rsidR="00014623">
        <w:t>y</w:t>
      </w:r>
      <w:r w:rsidR="002B4E01">
        <w:t xml:space="preserve"> </w:t>
      </w:r>
      <w:r>
        <w:t>Commission</w:t>
      </w:r>
      <w:r w:rsidR="004151F4">
        <w:t xml:space="preserve"> </w:t>
      </w:r>
      <w:r w:rsidR="002C0248">
        <w:t>M</w:t>
      </w:r>
      <w:r w:rsidR="004151F4">
        <w:t xml:space="preserve">ental </w:t>
      </w:r>
      <w:r w:rsidR="002C0248">
        <w:t>H</w:t>
      </w:r>
      <w:r w:rsidR="004151F4">
        <w:t xml:space="preserve">ealth </w:t>
      </w:r>
      <w:r w:rsidR="002C0248">
        <w:t>I</w:t>
      </w:r>
      <w:r w:rsidR="004151F4">
        <w:t>nquiry</w:t>
      </w:r>
      <w:r>
        <w:t>’s question on notice,</w:t>
      </w:r>
      <w:r>
        <w:rPr>
          <w:rStyle w:val="FootnoteReference"/>
        </w:rPr>
        <w:footnoteReference w:id="147"/>
      </w:r>
      <w:r>
        <w:t xml:space="preserve"> we outline how p</w:t>
      </w:r>
      <w:r w:rsidR="0079294E" w:rsidRPr="0079294E">
        <w:t xml:space="preserve">eople experiencing mental health issues </w:t>
      </w:r>
      <w:r w:rsidR="00FA6AE2">
        <w:t>can be</w:t>
      </w:r>
      <w:r w:rsidR="0079294E" w:rsidRPr="0079294E">
        <w:t xml:space="preserve"> drawn into the criminal justice system due to service gaps in the community and failures in the civil mental health system.</w:t>
      </w:r>
    </w:p>
    <w:p w14:paraId="51F9BD7E" w14:textId="66F98D80" w:rsidR="0079294E" w:rsidRDefault="0079294E" w:rsidP="0079294E">
      <w:r w:rsidRPr="0079294E">
        <w:lastRenderedPageBreak/>
        <w:t xml:space="preserve">There is insufficient access to community treatment, accommodation and support, particularly to address </w:t>
      </w:r>
      <w:r>
        <w:t xml:space="preserve">the unmet level of care and treatment between </w:t>
      </w:r>
      <w:r w:rsidRPr="0079294E">
        <w:t>crisis or acute services and a mental health care plan through one’s general practitioner.</w:t>
      </w:r>
      <w:r>
        <w:rPr>
          <w:rStyle w:val="FootnoteReference"/>
        </w:rPr>
        <w:footnoteReference w:id="148"/>
      </w:r>
    </w:p>
    <w:p w14:paraId="47CBE985" w14:textId="7757CBAD" w:rsidR="004E2D4F" w:rsidRPr="00A17FA6" w:rsidRDefault="00A17FA6" w:rsidP="00CB2A3F">
      <w:pPr>
        <w:shd w:val="clear" w:color="auto" w:fill="DEEAF6" w:themeFill="accent5" w:themeFillTint="33"/>
        <w:ind w:left="426"/>
      </w:pPr>
      <w:bookmarkStart w:id="3513" w:name="_Toc40355775"/>
      <w:bookmarkStart w:id="3514" w:name="_Toc41325424"/>
      <w:bookmarkStart w:id="3515" w:name="_Toc41332833"/>
      <w:bookmarkStart w:id="3516" w:name="_Toc41412011"/>
      <w:r w:rsidRPr="00A17FA6">
        <w:rPr>
          <w:b/>
          <w:bCs/>
        </w:rPr>
        <w:t xml:space="preserve">Recommendation 42: </w:t>
      </w:r>
      <w:r w:rsidR="000525AB">
        <w:rPr>
          <w:b/>
          <w:bCs/>
        </w:rPr>
        <w:tab/>
      </w:r>
      <w:r w:rsidR="007B64F8" w:rsidRPr="00A17FA6">
        <w:rPr>
          <w:b/>
          <w:bCs/>
        </w:rPr>
        <w:t>Resource e</w:t>
      </w:r>
      <w:r w:rsidR="004E2D4F" w:rsidRPr="00A17FA6">
        <w:rPr>
          <w:b/>
          <w:bCs/>
        </w:rPr>
        <w:t>arly intervention and community supports</w:t>
      </w:r>
      <w:bookmarkEnd w:id="3513"/>
      <w:bookmarkEnd w:id="3514"/>
      <w:bookmarkEnd w:id="3515"/>
      <w:bookmarkEnd w:id="3516"/>
    </w:p>
    <w:p w14:paraId="2A41744F" w14:textId="690512FC" w:rsidR="004E2D4F" w:rsidRPr="00A17FA6" w:rsidRDefault="004E2D4F" w:rsidP="00CB2A3F">
      <w:pPr>
        <w:shd w:val="clear" w:color="auto" w:fill="DEEAF6" w:themeFill="accent5" w:themeFillTint="33"/>
        <w:ind w:left="426"/>
      </w:pPr>
      <w:r w:rsidRPr="00A17FA6">
        <w:t xml:space="preserve">The Victorian Government should resource community mental health care and treatment options, particularly between primary care and acute care, to help people manage their mental health needs before they escalate to crisis. </w:t>
      </w:r>
    </w:p>
    <w:p w14:paraId="693CD15C" w14:textId="7CC29752" w:rsidR="00F224AB" w:rsidRPr="00A17FA6" w:rsidRDefault="00F224AB" w:rsidP="00CB2A3F">
      <w:pPr>
        <w:shd w:val="clear" w:color="auto" w:fill="DEEAF6" w:themeFill="accent5" w:themeFillTint="33"/>
        <w:ind w:left="426"/>
      </w:pPr>
      <w:bookmarkStart w:id="3517" w:name="_Toc40355776"/>
      <w:r w:rsidRPr="00A17FA6">
        <w:t>See also</w:t>
      </w:r>
      <w:r w:rsidR="00C726A6" w:rsidRPr="00A17FA6">
        <w:t xml:space="preserve"> Recommendation 14: Work with Australian government to expand Medicare funding for Mental Health Care Plans</w:t>
      </w:r>
      <w:r w:rsidRPr="00A17FA6">
        <w:t xml:space="preserve"> </w:t>
      </w:r>
      <w:bookmarkEnd w:id="3517"/>
    </w:p>
    <w:p w14:paraId="7F3E6CEB" w14:textId="14EC4908" w:rsidR="003B7259" w:rsidRDefault="00863E59" w:rsidP="00E630C0">
      <w:pPr>
        <w:pStyle w:val="Heading3"/>
      </w:pPr>
      <w:r>
        <w:t>F</w:t>
      </w:r>
      <w:r w:rsidR="003B7259">
        <w:t>irst responders to mental health crises</w:t>
      </w:r>
    </w:p>
    <w:p w14:paraId="2665D718" w14:textId="5F1A9548" w:rsidR="00090093" w:rsidRDefault="004E2D4F" w:rsidP="004F7C7B">
      <w:r>
        <w:t>Our mental health system</w:t>
      </w:r>
      <w:r w:rsidR="0079294E">
        <w:t xml:space="preserve"> has defaulted to police as the first responders</w:t>
      </w:r>
      <w:r w:rsidR="00673D28">
        <w:t>, police are at the front line too much simply due to the lack of other appropriate and targeted services</w:t>
      </w:r>
      <w:r w:rsidR="0079294E">
        <w:t xml:space="preserve">. </w:t>
      </w:r>
      <w:r w:rsidR="0079294E" w:rsidRPr="0079294E">
        <w:t xml:space="preserve">Victoria Police noted in their submission </w:t>
      </w:r>
      <w:r w:rsidR="007A6FE7">
        <w:t>to this Royal Commission</w:t>
      </w:r>
      <w:r w:rsidR="0079294E" w:rsidRPr="0079294E">
        <w:t xml:space="preserve"> that they are </w:t>
      </w:r>
      <w:r w:rsidR="002C0248">
        <w:t>‘</w:t>
      </w:r>
      <w:r w:rsidR="0079294E" w:rsidRPr="0079294E">
        <w:t>increasingly relied upon to operate as gatekeepers to the mental health service system</w:t>
      </w:r>
      <w:r w:rsidR="002C0248">
        <w:t>’</w:t>
      </w:r>
      <w:r w:rsidR="007A6FE7">
        <w:t>,</w:t>
      </w:r>
      <w:r w:rsidR="0079294E" w:rsidRPr="3F749274">
        <w:rPr>
          <w:rStyle w:val="FootnoteReference"/>
        </w:rPr>
        <w:footnoteReference w:id="149"/>
      </w:r>
      <w:r w:rsidR="0079294E" w:rsidRPr="0079294E">
        <w:t xml:space="preserve"> and highlighted the significant increase in </w:t>
      </w:r>
      <w:r w:rsidR="00D9775D">
        <w:t xml:space="preserve">the number of </w:t>
      </w:r>
      <w:r w:rsidR="0079294E" w:rsidRPr="00BF7297">
        <w:t>respon</w:t>
      </w:r>
      <w:r w:rsidR="00D9775D">
        <w:t>ses</w:t>
      </w:r>
      <w:r w:rsidR="0079294E" w:rsidRPr="00BF7297">
        <w:t xml:space="preserve"> to psychiatric crisis</w:t>
      </w:r>
      <w:r w:rsidR="0079294E" w:rsidRPr="0079294E">
        <w:t xml:space="preserve"> </w:t>
      </w:r>
      <w:r w:rsidR="0079294E" w:rsidRPr="00BF7297">
        <w:t>events</w:t>
      </w:r>
      <w:r w:rsidR="0079294E">
        <w:t xml:space="preserve"> in recent years</w:t>
      </w:r>
      <w:r w:rsidR="0079294E" w:rsidRPr="0079294E">
        <w:t>.</w:t>
      </w:r>
      <w:r w:rsidR="0079294E" w:rsidRPr="3F749274">
        <w:rPr>
          <w:rStyle w:val="FootnoteReference"/>
        </w:rPr>
        <w:footnoteReference w:id="150"/>
      </w:r>
      <w:r>
        <w:t xml:space="preserve"> </w:t>
      </w:r>
    </w:p>
    <w:p w14:paraId="6DEBB71B" w14:textId="7005AC53" w:rsidR="0079294E" w:rsidRDefault="00D76762" w:rsidP="004F7C7B">
      <w:r>
        <w:t xml:space="preserve">Police contact can compound stigma and be distressing for people </w:t>
      </w:r>
      <w:r w:rsidR="00810512">
        <w:t xml:space="preserve">experiencing </w:t>
      </w:r>
      <w:r>
        <w:t xml:space="preserve">mental health issues, and </w:t>
      </w:r>
      <w:r w:rsidR="00810512">
        <w:t xml:space="preserve">increase the likelihood </w:t>
      </w:r>
      <w:r w:rsidR="00125545">
        <w:t xml:space="preserve">of being </w:t>
      </w:r>
      <w:r w:rsidRPr="00F3782D">
        <w:t xml:space="preserve">caught in the </w:t>
      </w:r>
      <w:r w:rsidR="00F311E1">
        <w:t xml:space="preserve">net of the </w:t>
      </w:r>
      <w:r w:rsidRPr="00F3782D">
        <w:t>criminal justice system.</w:t>
      </w:r>
      <w:r>
        <w:t xml:space="preserve"> </w:t>
      </w:r>
      <w:r w:rsidR="0079294E">
        <w:t xml:space="preserve">As </w:t>
      </w:r>
      <w:r w:rsidR="0079294E" w:rsidRPr="004E4110">
        <w:t>Victoria Police submitted</w:t>
      </w:r>
      <w:r w:rsidR="0079294E">
        <w:t xml:space="preserve">, </w:t>
      </w:r>
      <w:r w:rsidR="002C0248">
        <w:t>‘</w:t>
      </w:r>
      <w:r w:rsidR="0079294E" w:rsidRPr="004E4110">
        <w:t>greater emphasis on mental health interventions in community and primary care could both reduce reliance on police attendance at matters not requiring a crisis response and prevent the escalation of circumstances that result in an emergency law enforcement intervention</w:t>
      </w:r>
      <w:r w:rsidR="002C0248">
        <w:t>’</w:t>
      </w:r>
      <w:r w:rsidR="0079294E" w:rsidRPr="004E4110">
        <w:t>.</w:t>
      </w:r>
      <w:r w:rsidR="0079294E" w:rsidRPr="3F749274">
        <w:rPr>
          <w:rStyle w:val="FootnoteReference"/>
        </w:rPr>
        <w:footnoteReference w:id="151"/>
      </w:r>
    </w:p>
    <w:p w14:paraId="06DC88F6" w14:textId="72C7E188" w:rsidR="0079294E" w:rsidRDefault="00DF3316" w:rsidP="004F7C7B">
      <w:r w:rsidRPr="004E4110">
        <w:t xml:space="preserve">Due to their role in the civil mental health system and their 24/7 state-wide coverage, it is unavoidable that police will at times be the first responders to people experiencing a mental health crisis and they should be better supported when doing so. However, </w:t>
      </w:r>
      <w:r w:rsidR="5EB0E2F4">
        <w:t>p</w:t>
      </w:r>
      <w:r w:rsidR="0079294E">
        <w:t>olice</w:t>
      </w:r>
      <w:r w:rsidR="0079294E" w:rsidRPr="004E4110">
        <w:t xml:space="preserve"> officers are not clinicians</w:t>
      </w:r>
      <w:r w:rsidR="009025EB">
        <w:t>,</w:t>
      </w:r>
      <w:r w:rsidR="0079294E" w:rsidRPr="004E4110">
        <w:t xml:space="preserve"> and are </w:t>
      </w:r>
      <w:r w:rsidR="009025EB">
        <w:t>therefore</w:t>
      </w:r>
      <w:r w:rsidR="0079294E" w:rsidRPr="004E4110">
        <w:t xml:space="preserve"> not adequately trained to be first responders </w:t>
      </w:r>
      <w:r w:rsidR="004E2D4F">
        <w:t>for</w:t>
      </w:r>
      <w:r w:rsidR="0079294E" w:rsidRPr="004E4110">
        <w:t xml:space="preserve"> people experiencing mental health crises. </w:t>
      </w:r>
      <w:r w:rsidR="0079294E" w:rsidRPr="000A77E2">
        <w:t xml:space="preserve">Other service responses should be </w:t>
      </w:r>
      <w:r w:rsidR="0079294E">
        <w:t xml:space="preserve">resourced and </w:t>
      </w:r>
      <w:r w:rsidR="0079294E" w:rsidRPr="000A77E2">
        <w:t>prioritised</w:t>
      </w:r>
      <w:r w:rsidR="0079294E">
        <w:t>,</w:t>
      </w:r>
      <w:r w:rsidR="0079294E" w:rsidRPr="000A77E2">
        <w:t xml:space="preserve"> to reduce reliance on police respon</w:t>
      </w:r>
      <w:r w:rsidR="0079294E">
        <w:t>ders and the net</w:t>
      </w:r>
      <w:r w:rsidR="003B7259">
        <w:t>-</w:t>
      </w:r>
      <w:r w:rsidR="0079294E">
        <w:t>widening impact of police contact</w:t>
      </w:r>
      <w:r w:rsidR="0079294E" w:rsidRPr="00F3782D">
        <w:t xml:space="preserve">. </w:t>
      </w:r>
      <w:r w:rsidR="00863E59">
        <w:t>VLA favours a</w:t>
      </w:r>
      <w:r w:rsidR="00D74749">
        <w:t xml:space="preserve">n alternative responder </w:t>
      </w:r>
      <w:r w:rsidR="00863E59">
        <w:t>service</w:t>
      </w:r>
      <w:r w:rsidR="00D74749">
        <w:t xml:space="preserve">, rather than a dual-responder model, </w:t>
      </w:r>
      <w:r w:rsidR="00863E59">
        <w:t xml:space="preserve">to minimise police contact and more </w:t>
      </w:r>
      <w:r w:rsidR="00D74749">
        <w:t>effective</w:t>
      </w:r>
      <w:r w:rsidR="00863E59">
        <w:t>ly</w:t>
      </w:r>
      <w:r w:rsidR="00D74749">
        <w:t xml:space="preserve"> reduc</w:t>
      </w:r>
      <w:r w:rsidR="00863E59">
        <w:t>e</w:t>
      </w:r>
      <w:r w:rsidR="00D74749">
        <w:t xml:space="preserve"> overrepresentation in the </w:t>
      </w:r>
      <w:r w:rsidR="00863E59">
        <w:t>criminal justice system.</w:t>
      </w:r>
    </w:p>
    <w:p w14:paraId="557F0C79" w14:textId="33FDB10B" w:rsidR="0079294E" w:rsidRPr="00554841" w:rsidRDefault="00A17FA6" w:rsidP="00CB2A3F">
      <w:pPr>
        <w:shd w:val="clear" w:color="auto" w:fill="DEEAF6" w:themeFill="accent5" w:themeFillTint="33"/>
        <w:ind w:left="426"/>
      </w:pPr>
      <w:bookmarkStart w:id="3518" w:name="_Toc40355777"/>
      <w:bookmarkStart w:id="3519" w:name="_Toc41325425"/>
      <w:bookmarkStart w:id="3520" w:name="_Toc41332834"/>
      <w:bookmarkStart w:id="3521" w:name="_Toc41412012"/>
      <w:r w:rsidRPr="00B9060C">
        <w:rPr>
          <w:b/>
          <w:bCs/>
        </w:rPr>
        <w:t xml:space="preserve">Recommendation </w:t>
      </w:r>
      <w:r>
        <w:rPr>
          <w:b/>
          <w:bCs/>
        </w:rPr>
        <w:t xml:space="preserve">43: </w:t>
      </w:r>
      <w:r w:rsidR="000525AB">
        <w:rPr>
          <w:b/>
          <w:bCs/>
        </w:rPr>
        <w:tab/>
      </w:r>
      <w:r w:rsidR="007B64F8" w:rsidRPr="00A17FA6">
        <w:rPr>
          <w:b/>
          <w:bCs/>
        </w:rPr>
        <w:t>Improve m</w:t>
      </w:r>
      <w:r w:rsidR="004E2D4F" w:rsidRPr="00A17FA6">
        <w:rPr>
          <w:b/>
          <w:bCs/>
        </w:rPr>
        <w:t>ental health response</w:t>
      </w:r>
      <w:r w:rsidR="007B64F8" w:rsidRPr="00A17FA6">
        <w:rPr>
          <w:b/>
          <w:bCs/>
        </w:rPr>
        <w:t>s</w:t>
      </w:r>
      <w:r w:rsidR="004E2D4F" w:rsidRPr="00A17FA6">
        <w:rPr>
          <w:b/>
          <w:bCs/>
        </w:rPr>
        <w:t xml:space="preserve"> to people in crisis</w:t>
      </w:r>
      <w:bookmarkEnd w:id="3518"/>
      <w:bookmarkEnd w:id="3519"/>
      <w:bookmarkEnd w:id="3520"/>
      <w:bookmarkEnd w:id="3521"/>
      <w:r w:rsidR="0079294E" w:rsidRPr="001028B6">
        <w:t xml:space="preserve"> </w:t>
      </w:r>
    </w:p>
    <w:p w14:paraId="7175C5D2" w14:textId="7651D7CC" w:rsidR="0079294E" w:rsidRPr="00A17FA6" w:rsidRDefault="0079294E" w:rsidP="00CB2A3F">
      <w:pPr>
        <w:shd w:val="clear" w:color="auto" w:fill="DEEAF6" w:themeFill="accent5" w:themeFillTint="33"/>
        <w:ind w:left="426"/>
      </w:pPr>
      <w:r w:rsidRPr="00A17FA6">
        <w:t xml:space="preserve">The Royal Commission should consider </w:t>
      </w:r>
      <w:r w:rsidR="003B7259" w:rsidRPr="00A17FA6">
        <w:t>more appropriate organisations or professionals to provide a mental health focused</w:t>
      </w:r>
      <w:r w:rsidRPr="00A17FA6">
        <w:t xml:space="preserve"> first respon</w:t>
      </w:r>
      <w:r w:rsidR="003B7259" w:rsidRPr="00A17FA6">
        <w:t>se</w:t>
      </w:r>
      <w:r w:rsidRPr="00A17FA6">
        <w:t xml:space="preserve"> to people experiencing mental health issues, to reduce the reliance on Victoria Police </w:t>
      </w:r>
      <w:r w:rsidR="003B7259" w:rsidRPr="00A17FA6">
        <w:t xml:space="preserve">as first responders </w:t>
      </w:r>
      <w:r w:rsidRPr="00A17FA6">
        <w:t xml:space="preserve">and minimise unnecessary police contact. </w:t>
      </w:r>
    </w:p>
    <w:p w14:paraId="03664595" w14:textId="40A25B68" w:rsidR="00F46A15" w:rsidRDefault="003B7259" w:rsidP="004F7C7B">
      <w:bookmarkStart w:id="3522" w:name="_Toc40215799"/>
      <w:bookmarkStart w:id="3523" w:name="_Toc40215800"/>
      <w:bookmarkStart w:id="3524" w:name="_Toc40215801"/>
      <w:bookmarkStart w:id="3525" w:name="_Toc40215802"/>
      <w:bookmarkStart w:id="3526" w:name="_Toc40215803"/>
      <w:bookmarkStart w:id="3527" w:name="_Toc40215804"/>
      <w:bookmarkStart w:id="3528" w:name="_Toc40215805"/>
      <w:bookmarkStart w:id="3529" w:name="_Toc40215806"/>
      <w:bookmarkStart w:id="3530" w:name="_Toc40215807"/>
      <w:bookmarkEnd w:id="3522"/>
      <w:bookmarkEnd w:id="3523"/>
      <w:bookmarkEnd w:id="3524"/>
      <w:bookmarkEnd w:id="3525"/>
      <w:bookmarkEnd w:id="3526"/>
      <w:bookmarkEnd w:id="3527"/>
      <w:bookmarkEnd w:id="3528"/>
      <w:bookmarkEnd w:id="3529"/>
      <w:bookmarkEnd w:id="3530"/>
      <w:r>
        <w:lastRenderedPageBreak/>
        <w:t>Once police have been called</w:t>
      </w:r>
      <w:r w:rsidR="00F33D6D" w:rsidRPr="00F33D6D">
        <w:t xml:space="preserve"> </w:t>
      </w:r>
      <w:r w:rsidR="00F33D6D">
        <w:t>a criminal justice response is not inevitable</w:t>
      </w:r>
      <w:r>
        <w:t xml:space="preserve">, </w:t>
      </w:r>
      <w:r w:rsidRPr="003B7259">
        <w:rPr>
          <w:rFonts w:cs="Arial"/>
        </w:rPr>
        <w:t xml:space="preserve">police can </w:t>
      </w:r>
      <w:r w:rsidR="00410C8B">
        <w:rPr>
          <w:rFonts w:cs="Arial"/>
        </w:rPr>
        <w:t>and do</w:t>
      </w:r>
      <w:r w:rsidRPr="003B7259">
        <w:rPr>
          <w:rFonts w:cs="Arial"/>
        </w:rPr>
        <w:t xml:space="preserve"> refer people to appropriate services and supports</w:t>
      </w:r>
      <w:r>
        <w:t xml:space="preserve">. However, there are limitations with current referral systems, including that they are only used for people who are </w:t>
      </w:r>
      <w:r w:rsidRPr="00FD4DD2">
        <w:t>not in crisis</w:t>
      </w:r>
      <w:r>
        <w:t>.</w:t>
      </w:r>
      <w:r>
        <w:rPr>
          <w:rStyle w:val="FootnoteReference"/>
          <w:szCs w:val="22"/>
        </w:rPr>
        <w:footnoteReference w:id="152"/>
      </w:r>
      <w:r>
        <w:t xml:space="preserve"> </w:t>
      </w:r>
    </w:p>
    <w:p w14:paraId="7D94B965" w14:textId="0CBFF9CB" w:rsidR="00AE4966" w:rsidRDefault="00AE4966" w:rsidP="004F7C7B">
      <w:r>
        <w:t xml:space="preserve">In our practice experience, police </w:t>
      </w:r>
      <w:r w:rsidRPr="00781392">
        <w:t xml:space="preserve">officers may not </w:t>
      </w:r>
      <w:r>
        <w:t>opt to use a referral for several reasons</w:t>
      </w:r>
      <w:r w:rsidR="00352318">
        <w:t xml:space="preserve">; they may not be confident </w:t>
      </w:r>
      <w:r>
        <w:t xml:space="preserve">in </w:t>
      </w:r>
      <w:r w:rsidRPr="00781392">
        <w:t>correct</w:t>
      </w:r>
      <w:r>
        <w:t>ly determin</w:t>
      </w:r>
      <w:r w:rsidR="00352318">
        <w:t>ing</w:t>
      </w:r>
      <w:r>
        <w:t xml:space="preserve"> </w:t>
      </w:r>
      <w:r w:rsidRPr="00781392">
        <w:t>the person’s needs and the appropriate pathway</w:t>
      </w:r>
      <w:r>
        <w:t xml:space="preserve"> (acknowledging that </w:t>
      </w:r>
      <w:r w:rsidR="00352318">
        <w:t xml:space="preserve">police officers </w:t>
      </w:r>
      <w:r>
        <w:t xml:space="preserve">are not clinicians), </w:t>
      </w:r>
      <w:r w:rsidR="00352318">
        <w:t xml:space="preserve">or in applying eligibility guidelines for different services, or that a </w:t>
      </w:r>
      <w:r>
        <w:t xml:space="preserve">consent based </w:t>
      </w:r>
      <w:r w:rsidRPr="00781392">
        <w:t xml:space="preserve">referral </w:t>
      </w:r>
      <w:r w:rsidR="00352318">
        <w:t xml:space="preserve">would </w:t>
      </w:r>
      <w:r w:rsidRPr="00781392">
        <w:t xml:space="preserve">be </w:t>
      </w:r>
      <w:r>
        <w:t>effective or engaged with</w:t>
      </w:r>
      <w:r w:rsidR="00352318">
        <w:t xml:space="preserve">. </w:t>
      </w:r>
      <w:r w:rsidR="005F07EB">
        <w:t>T</w:t>
      </w:r>
      <w:r>
        <w:t xml:space="preserve">hey may </w:t>
      </w:r>
      <w:r w:rsidRPr="00781392">
        <w:t xml:space="preserve">feel more secure relying on </w:t>
      </w:r>
      <w:r w:rsidR="00352318">
        <w:t>criminal justice respon</w:t>
      </w:r>
      <w:r w:rsidR="005F07EB">
        <w:t>s</w:t>
      </w:r>
      <w:r w:rsidR="00352318">
        <w:t>e</w:t>
      </w:r>
      <w:r w:rsidR="005F07EB">
        <w:t>s</w:t>
      </w:r>
      <w:r w:rsidR="00352318">
        <w:t xml:space="preserve"> or </w:t>
      </w:r>
      <w:r w:rsidRPr="00781392">
        <w:t>Mental Health Act</w:t>
      </w:r>
      <w:r w:rsidR="005F07EB">
        <w:t xml:space="preserve"> powers</w:t>
      </w:r>
      <w:r>
        <w:t>.</w:t>
      </w:r>
    </w:p>
    <w:p w14:paraId="19E418DF" w14:textId="7B3519A6" w:rsidR="003B7259" w:rsidRDefault="003B7259" w:rsidP="00F22051">
      <w:pPr>
        <w:spacing w:after="0"/>
      </w:pPr>
      <w:r>
        <w:t xml:space="preserve">We support </w:t>
      </w:r>
      <w:r w:rsidRPr="00781392">
        <w:t>direct referrals from Victoria Police to health and social services</w:t>
      </w:r>
      <w:r>
        <w:t xml:space="preserve"> as a key opportunity for early intervention</w:t>
      </w:r>
      <w:r w:rsidRPr="003B7259">
        <w:rPr>
          <w:szCs w:val="22"/>
        </w:rPr>
        <w:t xml:space="preserve"> as well as </w:t>
      </w:r>
      <w:r w:rsidRPr="00781392">
        <w:t xml:space="preserve">greater training and clinical support for police where a law enforcement response is </w:t>
      </w:r>
      <w:r w:rsidR="005F07EB">
        <w:t>not necessary</w:t>
      </w:r>
      <w:r>
        <w:t>. In</w:t>
      </w:r>
      <w:r w:rsidRPr="00781392">
        <w:t xml:space="preserve"> our view</w:t>
      </w:r>
      <w:r>
        <w:t>,</w:t>
      </w:r>
      <w:r w:rsidRPr="00781392">
        <w:t xml:space="preserve"> </w:t>
      </w:r>
      <w:r w:rsidRPr="00F3782D">
        <w:t>reduc</w:t>
      </w:r>
      <w:r>
        <w:t xml:space="preserve">ing police contact through </w:t>
      </w:r>
      <w:r w:rsidRPr="00781392">
        <w:t xml:space="preserve">investment in </w:t>
      </w:r>
      <w:r w:rsidRPr="00F3782D">
        <w:t xml:space="preserve">health </w:t>
      </w:r>
      <w:r>
        <w:t xml:space="preserve">and </w:t>
      </w:r>
      <w:r w:rsidRPr="00F3782D">
        <w:t xml:space="preserve">therapeutic </w:t>
      </w:r>
      <w:r>
        <w:t xml:space="preserve">services </w:t>
      </w:r>
      <w:r w:rsidRPr="00F3782D">
        <w:t>would be a more effective use of public resources</w:t>
      </w:r>
      <w:r>
        <w:t xml:space="preserve"> and have a greater impact on reducing net widening.</w:t>
      </w:r>
    </w:p>
    <w:p w14:paraId="5E9AEB2B" w14:textId="1AEA1572" w:rsidR="003B7259" w:rsidRPr="00A17FA6" w:rsidRDefault="00A17FA6" w:rsidP="00DB4E17">
      <w:pPr>
        <w:shd w:val="clear" w:color="auto" w:fill="DEEAF6" w:themeFill="accent5" w:themeFillTint="33"/>
        <w:spacing w:before="240"/>
        <w:ind w:left="3119" w:hanging="2693"/>
      </w:pPr>
      <w:bookmarkStart w:id="3531" w:name="_Toc41325426"/>
      <w:bookmarkStart w:id="3532" w:name="_Toc41332835"/>
      <w:bookmarkStart w:id="3533" w:name="_Toc41412013"/>
      <w:bookmarkStart w:id="3534" w:name="_Toc40355778"/>
      <w:r w:rsidRPr="00B9060C">
        <w:rPr>
          <w:b/>
          <w:bCs/>
        </w:rPr>
        <w:t xml:space="preserve">Recommendation </w:t>
      </w:r>
      <w:r>
        <w:rPr>
          <w:b/>
          <w:bCs/>
        </w:rPr>
        <w:t xml:space="preserve">44: </w:t>
      </w:r>
      <w:r w:rsidR="000525AB">
        <w:rPr>
          <w:b/>
          <w:bCs/>
        </w:rPr>
        <w:tab/>
      </w:r>
      <w:r w:rsidR="007B64F8" w:rsidRPr="00A17FA6">
        <w:rPr>
          <w:b/>
          <w:bCs/>
        </w:rPr>
        <w:t xml:space="preserve">Consider a </w:t>
      </w:r>
      <w:r w:rsidR="00BC69FD" w:rsidRPr="00A17FA6">
        <w:rPr>
          <w:b/>
          <w:bCs/>
        </w:rPr>
        <w:t>Victoria Police d</w:t>
      </w:r>
      <w:r w:rsidR="003B7259" w:rsidRPr="00A17FA6">
        <w:rPr>
          <w:b/>
          <w:bCs/>
        </w:rPr>
        <w:t>irect referral system</w:t>
      </w:r>
      <w:bookmarkEnd w:id="3531"/>
      <w:bookmarkEnd w:id="3532"/>
      <w:bookmarkEnd w:id="3533"/>
      <w:r w:rsidR="003B7259" w:rsidRPr="00A17FA6">
        <w:rPr>
          <w:b/>
          <w:bCs/>
        </w:rPr>
        <w:t xml:space="preserve"> </w:t>
      </w:r>
      <w:bookmarkEnd w:id="3534"/>
    </w:p>
    <w:p w14:paraId="783CA763" w14:textId="47BA7293" w:rsidR="003B7259" w:rsidRPr="00A17FA6" w:rsidRDefault="003B7259" w:rsidP="00CB2A3F">
      <w:pPr>
        <w:shd w:val="clear" w:color="auto" w:fill="DEEAF6" w:themeFill="accent5" w:themeFillTint="33"/>
        <w:ind w:left="426"/>
      </w:pPr>
      <w:r w:rsidRPr="00A17FA6">
        <w:t xml:space="preserve">The Royal Commission should consider whether a Victoria Police direct referral system to adequately funded mental health services </w:t>
      </w:r>
      <w:r w:rsidR="00815F8B" w:rsidRPr="00A17FA6">
        <w:t>could be a genuine alternative to criminal justice responses, to enable referrals to be made in more circumstances</w:t>
      </w:r>
      <w:r w:rsidRPr="00A17FA6">
        <w:t>.</w:t>
      </w:r>
    </w:p>
    <w:p w14:paraId="2647BAAF" w14:textId="10492F23" w:rsidR="00706B9C" w:rsidRDefault="00706B9C" w:rsidP="00E630C0">
      <w:pPr>
        <w:pStyle w:val="Heading3"/>
      </w:pPr>
      <w:bookmarkStart w:id="3535" w:name="_Toc40215809"/>
      <w:bookmarkStart w:id="3536" w:name="_Toc40215810"/>
      <w:bookmarkStart w:id="3537" w:name="_Toc40215811"/>
      <w:bookmarkStart w:id="3538" w:name="_Toc40215812"/>
      <w:bookmarkStart w:id="3539" w:name="_Toc40215813"/>
      <w:bookmarkStart w:id="3540" w:name="_Toc40215814"/>
      <w:bookmarkStart w:id="3541" w:name="_Toc40215815"/>
      <w:bookmarkStart w:id="3542" w:name="_Toc40215816"/>
      <w:bookmarkStart w:id="3543" w:name="_Toc40124930"/>
      <w:bookmarkEnd w:id="3535"/>
      <w:bookmarkEnd w:id="3536"/>
      <w:bookmarkEnd w:id="3537"/>
      <w:bookmarkEnd w:id="3538"/>
      <w:bookmarkEnd w:id="3539"/>
      <w:bookmarkEnd w:id="3540"/>
      <w:bookmarkEnd w:id="3541"/>
      <w:bookmarkEnd w:id="3542"/>
      <w:r>
        <w:t xml:space="preserve">Health and welfare-based responses to </w:t>
      </w:r>
      <w:r w:rsidRPr="00B245B7">
        <w:t xml:space="preserve">offences </w:t>
      </w:r>
      <w:r>
        <w:t>of poverty and addiction</w:t>
      </w:r>
      <w:bookmarkEnd w:id="3543"/>
    </w:p>
    <w:p w14:paraId="6B8C1947" w14:textId="2AFFEC53" w:rsidR="00F12516" w:rsidRDefault="00706B9C" w:rsidP="00706B9C">
      <w:pPr>
        <w:shd w:val="clear" w:color="auto" w:fill="FFFFFF"/>
        <w:textAlignment w:val="baseline"/>
      </w:pPr>
      <w:r>
        <w:t>People</w:t>
      </w:r>
      <w:r w:rsidRPr="00784FF2">
        <w:t xml:space="preserve"> </w:t>
      </w:r>
      <w:r>
        <w:t xml:space="preserve">experiencing mental health issues </w:t>
      </w:r>
      <w:r w:rsidR="00393646">
        <w:t xml:space="preserve">often face multiple challenges such as </w:t>
      </w:r>
      <w:r w:rsidR="003B7259">
        <w:t xml:space="preserve">homelessness, problematic alcohol or drug use, or </w:t>
      </w:r>
      <w:r w:rsidR="00AB2E7E">
        <w:t xml:space="preserve">insufficient </w:t>
      </w:r>
      <w:r>
        <w:t>supports</w:t>
      </w:r>
      <w:r w:rsidR="00AB2E7E">
        <w:t>, and</w:t>
      </w:r>
      <w:r w:rsidR="003B7259">
        <w:t xml:space="preserve"> are more likely to be visible </w:t>
      </w:r>
      <w:r>
        <w:t>in public spaces</w:t>
      </w:r>
      <w:r w:rsidR="003B7259">
        <w:t>. This</w:t>
      </w:r>
      <w:r>
        <w:t xml:space="preserve"> means they </w:t>
      </w:r>
      <w:r w:rsidR="003B7259">
        <w:t xml:space="preserve">are more likely to </w:t>
      </w:r>
      <w:r>
        <w:t xml:space="preserve">have ongoing and regular contact with </w:t>
      </w:r>
      <w:r w:rsidR="003B7259">
        <w:t>police</w:t>
      </w:r>
      <w:r w:rsidRPr="00784FF2">
        <w:t xml:space="preserve">. </w:t>
      </w:r>
      <w:r>
        <w:t xml:space="preserve">Criminal enforcement of minor offences does not address the underlying causes of </w:t>
      </w:r>
      <w:r w:rsidR="003B7259">
        <w:t>these problems,</w:t>
      </w:r>
      <w:r>
        <w:t xml:space="preserve"> and can further entrench </w:t>
      </w:r>
      <w:r w:rsidR="003B7259">
        <w:t>them</w:t>
      </w:r>
      <w:r>
        <w:t>.</w:t>
      </w:r>
      <w:r w:rsidRPr="00BB5DC9">
        <w:t xml:space="preserve"> </w:t>
      </w:r>
    </w:p>
    <w:p w14:paraId="28D1A198" w14:textId="3719F7FB" w:rsidR="00706B9C" w:rsidRDefault="00706B9C" w:rsidP="00706B9C">
      <w:pPr>
        <w:shd w:val="clear" w:color="auto" w:fill="FFFFFF"/>
        <w:textAlignment w:val="baseline"/>
      </w:pPr>
      <w:r>
        <w:t>Offences that penalise mental health issues, addiction and poverty should be decriminalised or amended to reduce the overcriminalisation of people with complex needs</w:t>
      </w:r>
      <w:r w:rsidR="00EB0821">
        <w:t>, as is already underway in relation to public drunkenness offences</w:t>
      </w:r>
      <w:r>
        <w:t>.</w:t>
      </w:r>
      <w:r w:rsidRPr="00DF6DC5">
        <w:t xml:space="preserve"> This type of </w:t>
      </w:r>
      <w:r w:rsidR="00EB0821">
        <w:t>behaviour</w:t>
      </w:r>
      <w:r w:rsidR="00EB0821" w:rsidRPr="00DF6DC5">
        <w:t xml:space="preserve"> </w:t>
      </w:r>
      <w:r w:rsidRPr="00DF6DC5">
        <w:t xml:space="preserve">is more effectively dealt with by the health and social services sector. </w:t>
      </w:r>
    </w:p>
    <w:p w14:paraId="2B66B7EA" w14:textId="3BFAA6DB" w:rsidR="00706B9C" w:rsidRPr="001028B6" w:rsidRDefault="00A17FA6" w:rsidP="00CB2A3F">
      <w:pPr>
        <w:keepLines/>
        <w:shd w:val="clear" w:color="auto" w:fill="DEEAF6" w:themeFill="accent5" w:themeFillTint="33"/>
        <w:spacing w:before="240" w:line="240" w:lineRule="auto"/>
        <w:ind w:left="3119" w:hanging="2693"/>
      </w:pPr>
      <w:bookmarkStart w:id="3544" w:name="_Toc40355779"/>
      <w:bookmarkStart w:id="3545" w:name="_Toc41325427"/>
      <w:bookmarkStart w:id="3546" w:name="_Toc41332836"/>
      <w:bookmarkStart w:id="3547" w:name="_Toc41412014"/>
      <w:r w:rsidRPr="00B9060C">
        <w:rPr>
          <w:b/>
          <w:bCs/>
        </w:rPr>
        <w:t xml:space="preserve">Recommendation </w:t>
      </w:r>
      <w:r>
        <w:rPr>
          <w:b/>
          <w:bCs/>
        </w:rPr>
        <w:t xml:space="preserve">45: </w:t>
      </w:r>
      <w:r w:rsidR="008B7705">
        <w:rPr>
          <w:b/>
          <w:bCs/>
        </w:rPr>
        <w:tab/>
      </w:r>
      <w:r w:rsidR="007B64F8" w:rsidRPr="00A17FA6">
        <w:rPr>
          <w:b/>
          <w:bCs/>
        </w:rPr>
        <w:t>Introduce h</w:t>
      </w:r>
      <w:r w:rsidR="00706B9C" w:rsidRPr="00A17FA6">
        <w:rPr>
          <w:b/>
          <w:bCs/>
        </w:rPr>
        <w:t>ealth and welfare responses to minor offending behaviours</w:t>
      </w:r>
      <w:bookmarkEnd w:id="3544"/>
      <w:bookmarkEnd w:id="3545"/>
      <w:bookmarkEnd w:id="3546"/>
      <w:bookmarkEnd w:id="3547"/>
    </w:p>
    <w:p w14:paraId="32743BB6" w14:textId="38D5FE02" w:rsidR="008B7705" w:rsidRDefault="00706B9C" w:rsidP="00F22051">
      <w:pPr>
        <w:shd w:val="clear" w:color="auto" w:fill="DEEAF6" w:themeFill="accent5" w:themeFillTint="33"/>
        <w:spacing w:after="0" w:line="240" w:lineRule="auto"/>
        <w:ind w:left="426"/>
      </w:pPr>
      <w:r w:rsidRPr="00A17FA6">
        <w:t xml:space="preserve">The </w:t>
      </w:r>
      <w:r w:rsidR="003B7259" w:rsidRPr="00A17FA6">
        <w:t>Victorian Government should:</w:t>
      </w:r>
    </w:p>
    <w:p w14:paraId="529B2EFF" w14:textId="329BB40C" w:rsidR="008B7705" w:rsidRDefault="00706B9C" w:rsidP="00D80102">
      <w:pPr>
        <w:pStyle w:val="ListParagraph"/>
        <w:numPr>
          <w:ilvl w:val="0"/>
          <w:numId w:val="32"/>
        </w:numPr>
        <w:shd w:val="clear" w:color="auto" w:fill="DEEAF6" w:themeFill="accent5" w:themeFillTint="33"/>
        <w:spacing w:before="240" w:line="276" w:lineRule="auto"/>
        <w:ind w:left="851" w:hanging="425"/>
      </w:pPr>
      <w:r w:rsidRPr="00A17FA6">
        <w:t>decriminalis</w:t>
      </w:r>
      <w:r w:rsidR="003B7259" w:rsidRPr="00A17FA6">
        <w:t xml:space="preserve">e </w:t>
      </w:r>
      <w:r w:rsidR="00432E92" w:rsidRPr="00A17FA6">
        <w:t xml:space="preserve">or amend </w:t>
      </w:r>
      <w:r w:rsidRPr="00A17FA6">
        <w:t xml:space="preserve">minor offences which disproportionately </w:t>
      </w:r>
      <w:r w:rsidR="00432E92" w:rsidRPr="00A17FA6">
        <w:t xml:space="preserve">criminalise </w:t>
      </w:r>
      <w:r w:rsidRPr="00A17FA6">
        <w:t>mental health issues, addiction and poverty</w:t>
      </w:r>
      <w:r w:rsidR="00D71475" w:rsidRPr="00A17FA6">
        <w:t xml:space="preserve">, </w:t>
      </w:r>
      <w:proofErr w:type="gramStart"/>
      <w:r w:rsidR="00D71475" w:rsidRPr="00A17FA6">
        <w:t>including</w:t>
      </w:r>
      <w:r w:rsidR="00680775" w:rsidRPr="00A17FA6">
        <w:t>:</w:t>
      </w:r>
      <w:proofErr w:type="gramEnd"/>
      <w:r w:rsidR="00D71475" w:rsidRPr="00A17FA6">
        <w:t xml:space="preserve"> </w:t>
      </w:r>
      <w:r w:rsidR="00D80102" w:rsidRPr="00D80102">
        <w:t>begging,</w:t>
      </w:r>
      <w:r w:rsidR="00D80102" w:rsidRPr="00D80102">
        <w:rPr>
          <w:vertAlign w:val="superscript"/>
        </w:rPr>
        <w:footnoteReference w:id="153"/>
      </w:r>
      <w:r w:rsidR="00D80102" w:rsidRPr="00D80102">
        <w:t xml:space="preserve"> offensive language,</w:t>
      </w:r>
      <w:bookmarkStart w:id="3548" w:name="_Ref41249593"/>
      <w:r w:rsidR="00D80102" w:rsidRPr="00D80102">
        <w:rPr>
          <w:vertAlign w:val="superscript"/>
        </w:rPr>
        <w:footnoteReference w:id="154"/>
      </w:r>
      <w:bookmarkEnd w:id="3548"/>
      <w:r w:rsidR="00D80102" w:rsidRPr="00D80102">
        <w:t xml:space="preserve"> using a drug of dependence or possession of quantities of a drug of dependence for personal use;</w:t>
      </w:r>
      <w:r w:rsidR="00D80102" w:rsidRPr="00D80102">
        <w:rPr>
          <w:vertAlign w:val="superscript"/>
        </w:rPr>
        <w:footnoteReference w:id="155"/>
      </w:r>
      <w:r w:rsidR="00D80102" w:rsidRPr="00D80102">
        <w:t xml:space="preserve"> and </w:t>
      </w:r>
    </w:p>
    <w:p w14:paraId="0A376860" w14:textId="3EBB101A" w:rsidR="00271096" w:rsidRPr="00CB2A3F" w:rsidRDefault="003B7259" w:rsidP="00984FB7">
      <w:pPr>
        <w:pStyle w:val="ListParagraph"/>
        <w:numPr>
          <w:ilvl w:val="0"/>
          <w:numId w:val="32"/>
        </w:numPr>
        <w:shd w:val="clear" w:color="auto" w:fill="DEEAF6" w:themeFill="accent5" w:themeFillTint="33"/>
        <w:spacing w:line="276" w:lineRule="auto"/>
        <w:ind w:left="850" w:hanging="425"/>
        <w:contextualSpacing w:val="0"/>
      </w:pPr>
      <w:r w:rsidRPr="00A17FA6">
        <w:lastRenderedPageBreak/>
        <w:t xml:space="preserve">implement public health responses for addressing the underlying causes of these behaviours (e.g. additional housing supports, early intervention mental healthcare). </w:t>
      </w:r>
    </w:p>
    <w:p w14:paraId="1015B407" w14:textId="6D2843CD" w:rsidR="00706B9C" w:rsidRDefault="00036CCE">
      <w:pPr>
        <w:pStyle w:val="Heading2"/>
      </w:pPr>
      <w:bookmarkStart w:id="3549" w:name="_Toc41651975"/>
      <w:r>
        <w:t>Police discretion, caution and diversion</w:t>
      </w:r>
      <w:bookmarkEnd w:id="3549"/>
    </w:p>
    <w:p w14:paraId="69D4100B" w14:textId="6F102DBE" w:rsidR="00FB2B7E" w:rsidRDefault="00FB2B7E" w:rsidP="00FB2B7E">
      <w:pPr>
        <w:pStyle w:val="Heading3"/>
      </w:pPr>
      <w:r>
        <w:t>Increasing the use of caution and diversion</w:t>
      </w:r>
    </w:p>
    <w:p w14:paraId="273B0845" w14:textId="41941AC7" w:rsidR="00A44B6D" w:rsidRDefault="00706B9C" w:rsidP="00706B9C">
      <w:r>
        <w:t xml:space="preserve">Once a police responder has determined that </w:t>
      </w:r>
      <w:r w:rsidRPr="00FD4DD2">
        <w:t>a crim</w:t>
      </w:r>
      <w:r>
        <w:t>inal</w:t>
      </w:r>
      <w:r w:rsidRPr="00FD4DD2">
        <w:t xml:space="preserve"> justice system response</w:t>
      </w:r>
      <w:r>
        <w:t xml:space="preserve"> is necessary, there should be greater use of </w:t>
      </w:r>
      <w:r w:rsidR="008C4850">
        <w:t>discretion</w:t>
      </w:r>
      <w:r w:rsidRPr="00F76E3F">
        <w:t xml:space="preserve"> </w:t>
      </w:r>
      <w:r>
        <w:t>to minimis</w:t>
      </w:r>
      <w:r w:rsidR="003B7259">
        <w:t>e</w:t>
      </w:r>
      <w:r>
        <w:t xml:space="preserve"> the intensity of criminal justice response. </w:t>
      </w:r>
      <w:r w:rsidR="00A84C90">
        <w:t>This can significantly decrease stigma and disruption</w:t>
      </w:r>
      <w:r w:rsidR="00E853F1">
        <w:t xml:space="preserve"> for </w:t>
      </w:r>
      <w:r w:rsidR="00A84C90">
        <w:t xml:space="preserve">people experiencing mental health issues </w:t>
      </w:r>
      <w:r w:rsidR="00E853F1">
        <w:t xml:space="preserve">and </w:t>
      </w:r>
      <w:r w:rsidR="00A84C90">
        <w:t>enable them to remain in the community to receive treatment and maintain employment, housing and social connections</w:t>
      </w:r>
      <w:r w:rsidR="00A84C90" w:rsidRPr="00FD4DD2">
        <w:t>.</w:t>
      </w:r>
    </w:p>
    <w:p w14:paraId="2BA82B83" w14:textId="4A33A055" w:rsidR="00706B9C" w:rsidRPr="00B745A2" w:rsidRDefault="00706B9C" w:rsidP="00706B9C">
      <w:r>
        <w:t>Because p</w:t>
      </w:r>
      <w:r w:rsidRPr="00B745A2">
        <w:t>eople experiencing mental health issues</w:t>
      </w:r>
      <w:r>
        <w:t xml:space="preserve"> </w:t>
      </w:r>
      <w:r w:rsidRPr="00B745A2">
        <w:t xml:space="preserve">may also find it more difficult to understand and comply with bail conditions </w:t>
      </w:r>
      <w:r>
        <w:t xml:space="preserve">and </w:t>
      </w:r>
      <w:r w:rsidRPr="00B745A2">
        <w:t>court orders</w:t>
      </w:r>
      <w:r>
        <w:t xml:space="preserve">, particularly if they have coexisting </w:t>
      </w:r>
      <w:r w:rsidR="004A12C3">
        <w:t xml:space="preserve">cognitive </w:t>
      </w:r>
      <w:r>
        <w:t>impairment or substance dependence</w:t>
      </w:r>
      <w:r w:rsidRPr="00B745A2">
        <w:t xml:space="preserve">, </w:t>
      </w:r>
      <w:r>
        <w:t xml:space="preserve">light touch options can decrease </w:t>
      </w:r>
      <w:r w:rsidR="00A84C90">
        <w:t>ongoing</w:t>
      </w:r>
      <w:r w:rsidRPr="00B745A2">
        <w:t xml:space="preserve"> contact with criminal justice system.</w:t>
      </w:r>
    </w:p>
    <w:p w14:paraId="13028899" w14:textId="12192182" w:rsidR="000820EB" w:rsidRDefault="00BA5A7A" w:rsidP="003C16C3">
      <w:pPr>
        <w:rPr>
          <w:rFonts w:eastAsia="Arial"/>
        </w:rPr>
      </w:pPr>
      <w:r w:rsidRPr="00B745A2">
        <w:t xml:space="preserve">In our </w:t>
      </w:r>
      <w:r>
        <w:t xml:space="preserve">practice </w:t>
      </w:r>
      <w:r w:rsidRPr="00B745A2">
        <w:t xml:space="preserve">experience, </w:t>
      </w:r>
      <w:r>
        <w:t xml:space="preserve">in many instances </w:t>
      </w:r>
      <w:r w:rsidRPr="00B745A2">
        <w:t>police officers default too readily to</w:t>
      </w:r>
      <w:r>
        <w:t xml:space="preserve"> </w:t>
      </w:r>
      <w:r>
        <w:rPr>
          <w:lang w:eastAsia="en-AU"/>
        </w:rPr>
        <w:t xml:space="preserve">charging people for minor offending which warrants a caution or a health-based response and linking to support services; </w:t>
      </w:r>
      <w:r w:rsidRPr="0002256C">
        <w:rPr>
          <w:lang w:eastAsia="en-AU"/>
        </w:rPr>
        <w:t>placing people on bail who could appropriately be charged on summons or via the notice to appear procedure</w:t>
      </w:r>
      <w:r>
        <w:rPr>
          <w:lang w:eastAsia="en-AU"/>
        </w:rPr>
        <w:t>;</w:t>
      </w:r>
      <w:r w:rsidRPr="0002256C">
        <w:rPr>
          <w:lang w:eastAsia="en-AU"/>
        </w:rPr>
        <w:t xml:space="preserve"> seeking to remand accused people in circumstances where the accused person should be bailed by police. </w:t>
      </w:r>
      <w:r w:rsidR="00963043">
        <w:t>Data shows that p</w:t>
      </w:r>
      <w:r w:rsidR="005565C8">
        <w:t xml:space="preserve">olice are increasingly likely to commence </w:t>
      </w:r>
      <w:r w:rsidR="007A16A0">
        <w:t xml:space="preserve">court </w:t>
      </w:r>
      <w:r w:rsidR="005565C8">
        <w:t>proceedings rather than utilise non-court action including referrals, diversions and cautions</w:t>
      </w:r>
      <w:r w:rsidR="005565C8" w:rsidDel="007A16A0">
        <w:t>.</w:t>
      </w:r>
      <w:r w:rsidR="00706B9C" w:rsidRPr="00F207E3">
        <w:rPr>
          <w:rStyle w:val="FootnoteReference"/>
          <w:rFonts w:eastAsia="Arial"/>
        </w:rPr>
        <w:footnoteReference w:id="156"/>
      </w:r>
      <w:r w:rsidR="003B7259">
        <w:rPr>
          <w:rFonts w:eastAsia="Arial"/>
        </w:rPr>
        <w:t xml:space="preserve"> </w:t>
      </w:r>
    </w:p>
    <w:p w14:paraId="5E3C429D" w14:textId="03B006D3" w:rsidR="00271096" w:rsidRDefault="00706B9C" w:rsidP="003C16C3">
      <w:pPr>
        <w:rPr>
          <w:lang w:eastAsia="en-AU"/>
        </w:rPr>
      </w:pPr>
      <w:r>
        <w:t>A r</w:t>
      </w:r>
      <w:r w:rsidRPr="00867B85">
        <w:t>eorient</w:t>
      </w:r>
      <w:r>
        <w:t>ation of</w:t>
      </w:r>
      <w:r w:rsidRPr="00867B85">
        <w:t xml:space="preserve"> police practices</w:t>
      </w:r>
      <w:r>
        <w:t>,</w:t>
      </w:r>
      <w:r w:rsidRPr="00867B85">
        <w:t xml:space="preserve"> </w:t>
      </w:r>
      <w:r>
        <w:t xml:space="preserve">to focus on </w:t>
      </w:r>
      <w:r w:rsidRPr="00867B85">
        <w:t>divert</w:t>
      </w:r>
      <w:r>
        <w:t>ing</w:t>
      </w:r>
      <w:r w:rsidRPr="00867B85">
        <w:t xml:space="preserve"> people experiencing mental health issues </w:t>
      </w:r>
      <w:r>
        <w:t xml:space="preserve">from the gates of </w:t>
      </w:r>
      <w:r w:rsidRPr="00867B85">
        <w:t xml:space="preserve">the criminal justice system, </w:t>
      </w:r>
      <w:r>
        <w:t xml:space="preserve">would </w:t>
      </w:r>
      <w:r w:rsidRPr="0002256C">
        <w:t xml:space="preserve">assist to reduce the overrepresentation of people </w:t>
      </w:r>
      <w:r>
        <w:t xml:space="preserve">with mental health issues </w:t>
      </w:r>
      <w:r w:rsidRPr="0002256C">
        <w:t xml:space="preserve">in </w:t>
      </w:r>
      <w:r>
        <w:t xml:space="preserve">the criminal justice net. </w:t>
      </w:r>
    </w:p>
    <w:p w14:paraId="3B400057" w14:textId="176B91D0" w:rsidR="00706B9C" w:rsidRDefault="003B7259" w:rsidP="00706B9C">
      <w:r>
        <w:t>Police officers</w:t>
      </w:r>
      <w:r w:rsidR="00706B9C">
        <w:t xml:space="preserve"> have discretion to give </w:t>
      </w:r>
      <w:r w:rsidR="00706B9C" w:rsidRPr="00867B85">
        <w:t>a formal warning, a</w:t>
      </w:r>
      <w:r w:rsidR="00706B9C">
        <w:t>n official</w:t>
      </w:r>
      <w:r w:rsidR="00706B9C" w:rsidRPr="00867B85">
        <w:t xml:space="preserve"> caution or </w:t>
      </w:r>
      <w:r w:rsidR="00706B9C">
        <w:t xml:space="preserve">to charge and </w:t>
      </w:r>
      <w:r w:rsidR="00706B9C" w:rsidRPr="00867B85">
        <w:t xml:space="preserve">refer to </w:t>
      </w:r>
      <w:r w:rsidR="00706B9C">
        <w:t>c</w:t>
      </w:r>
      <w:r w:rsidR="00706B9C" w:rsidRPr="00867B85">
        <w:t xml:space="preserve">ourt </w:t>
      </w:r>
      <w:r w:rsidR="00706B9C">
        <w:t>d</w:t>
      </w:r>
      <w:r w:rsidR="00706B9C" w:rsidRPr="00867B85">
        <w:t>iversion</w:t>
      </w:r>
      <w:r w:rsidR="00706B9C">
        <w:t>. Each of these options may be accompanied with direct referral to a service or support, voluntary in the case of a warning and caution, or obligatory (though consent based) in the context of diversion.</w:t>
      </w:r>
    </w:p>
    <w:p w14:paraId="2043B7BC" w14:textId="77777777" w:rsidR="00F22051" w:rsidRDefault="00706B9C" w:rsidP="00F22051">
      <w:r>
        <w:rPr>
          <w:rFonts w:cs="Arial"/>
          <w:szCs w:val="22"/>
        </w:rPr>
        <w:t>O</w:t>
      </w:r>
      <w:r w:rsidRPr="00C07830">
        <w:rPr>
          <w:rFonts w:cs="Arial"/>
          <w:szCs w:val="22"/>
        </w:rPr>
        <w:t>fficial caution</w:t>
      </w:r>
      <w:r>
        <w:rPr>
          <w:rFonts w:cs="Arial"/>
          <w:szCs w:val="22"/>
        </w:rPr>
        <w:t>s may be issued where the accused admits the offence and</w:t>
      </w:r>
      <w:r w:rsidR="003B7259">
        <w:t xml:space="preserve"> </w:t>
      </w:r>
      <w:r w:rsidRPr="00C07830">
        <w:t xml:space="preserve">if the </w:t>
      </w:r>
      <w:r>
        <w:t xml:space="preserve">accused </w:t>
      </w:r>
      <w:r w:rsidRPr="00C07830">
        <w:t xml:space="preserve">is </w:t>
      </w:r>
      <w:r>
        <w:t>a child (</w:t>
      </w:r>
      <w:r w:rsidRPr="00C07830">
        <w:t>unde</w:t>
      </w:r>
      <w:r w:rsidRPr="009C4D48">
        <w:t>r 18 years old</w:t>
      </w:r>
      <w:r>
        <w:t>),</w:t>
      </w:r>
      <w:r w:rsidRPr="009C4D48">
        <w:t xml:space="preserve"> for any offence</w:t>
      </w:r>
      <w:r w:rsidR="003B7259">
        <w:t>, or i</w:t>
      </w:r>
      <w:r w:rsidRPr="009C4D48">
        <w:t xml:space="preserve">f the </w:t>
      </w:r>
      <w:r>
        <w:t xml:space="preserve">accused </w:t>
      </w:r>
      <w:r w:rsidRPr="009C4D48">
        <w:t>is over 18 years old, for a shop stealing offence or for minor drug offences (such as use and possession offences).</w:t>
      </w:r>
      <w:r w:rsidR="00C53A5D">
        <w:rPr>
          <w:rStyle w:val="FootnoteReference"/>
        </w:rPr>
        <w:footnoteReference w:id="157"/>
      </w:r>
      <w:r w:rsidR="003B7259">
        <w:t xml:space="preserve"> </w:t>
      </w:r>
      <w:r w:rsidR="003B7259">
        <w:rPr>
          <w:rFonts w:cs="Arial"/>
          <w:color w:val="000000" w:themeColor="text1"/>
          <w:szCs w:val="22"/>
          <w:lang w:eastAsia="en-AU"/>
        </w:rPr>
        <w:t xml:space="preserve">We note that in </w:t>
      </w:r>
      <w:r w:rsidR="003B7259" w:rsidRPr="00DF6DC5">
        <w:t xml:space="preserve">NSW </w:t>
      </w:r>
      <w:r w:rsidR="003B7259">
        <w:t xml:space="preserve">that </w:t>
      </w:r>
      <w:r w:rsidR="003B7259" w:rsidRPr="00DF6DC5">
        <w:t xml:space="preserve">the Children’s Court </w:t>
      </w:r>
      <w:r w:rsidR="003B7259">
        <w:t xml:space="preserve">can </w:t>
      </w:r>
      <w:r w:rsidR="003B7259" w:rsidRPr="00DF6DC5">
        <w:t>issue cautions on the same terms as police.</w:t>
      </w:r>
      <w:r w:rsidR="003B7259" w:rsidRPr="00DF6DC5">
        <w:rPr>
          <w:rStyle w:val="FootnoteReference"/>
          <w:rFonts w:eastAsia="Arial"/>
        </w:rPr>
        <w:footnoteReference w:id="158"/>
      </w:r>
      <w:r w:rsidR="00225D4E">
        <w:t xml:space="preserve"> </w:t>
      </w:r>
      <w:r w:rsidR="001C0EAA">
        <w:t xml:space="preserve">Court Diversion is available for summary offences which do not have a minimum or fixed sentence and require the </w:t>
      </w:r>
      <w:r w:rsidR="001C0EAA">
        <w:lastRenderedPageBreak/>
        <w:t>accused to take responsibility for the offence.</w:t>
      </w:r>
      <w:r w:rsidR="001C0EAA" w:rsidRPr="002F53CF">
        <w:rPr>
          <w:rStyle w:val="FootnoteReference"/>
          <w:rFonts w:cs="Arial"/>
          <w:color w:val="000000" w:themeColor="text1"/>
          <w:szCs w:val="22"/>
          <w:lang w:eastAsia="en-AU"/>
        </w:rPr>
        <w:footnoteReference w:id="159"/>
      </w:r>
      <w:r w:rsidR="001C0EAA">
        <w:t xml:space="preserve"> The police informant or prosecutor must consent to a diversion; the matter then proceeds to a judicial officer for a decision.</w:t>
      </w:r>
      <w:r w:rsidR="001C0EAA">
        <w:rPr>
          <w:rStyle w:val="FootnoteReference"/>
        </w:rPr>
        <w:footnoteReference w:id="160"/>
      </w:r>
      <w:r w:rsidR="00225D4E">
        <w:t xml:space="preserve"> </w:t>
      </w:r>
    </w:p>
    <w:p w14:paraId="63987C76" w14:textId="2FCB2B2A" w:rsidR="002E7C0E" w:rsidRDefault="00706B9C" w:rsidP="00F22051">
      <w:pPr>
        <w:rPr>
          <w:szCs w:val="22"/>
        </w:rPr>
      </w:pPr>
      <w:r>
        <w:rPr>
          <w:rFonts w:cs="Arial"/>
          <w:szCs w:val="22"/>
        </w:rPr>
        <w:t>C</w:t>
      </w:r>
      <w:r w:rsidRPr="0002256C">
        <w:rPr>
          <w:rFonts w:cs="Arial"/>
          <w:szCs w:val="22"/>
        </w:rPr>
        <w:t>aution</w:t>
      </w:r>
      <w:r>
        <w:rPr>
          <w:rFonts w:cs="Arial"/>
          <w:szCs w:val="22"/>
        </w:rPr>
        <w:t>s</w:t>
      </w:r>
      <w:r w:rsidRPr="0002256C">
        <w:rPr>
          <w:rFonts w:cs="Arial"/>
          <w:szCs w:val="22"/>
        </w:rPr>
        <w:t xml:space="preserve"> and diversion</w:t>
      </w:r>
      <w:r>
        <w:rPr>
          <w:rFonts w:cs="Arial"/>
          <w:szCs w:val="22"/>
        </w:rPr>
        <w:t>s</w:t>
      </w:r>
      <w:r w:rsidRPr="0002256C">
        <w:rPr>
          <w:rFonts w:cs="Arial"/>
          <w:szCs w:val="22"/>
        </w:rPr>
        <w:t xml:space="preserve"> </w:t>
      </w:r>
      <w:r>
        <w:rPr>
          <w:rFonts w:cs="Arial"/>
          <w:szCs w:val="22"/>
        </w:rPr>
        <w:t>reduce recidivism</w:t>
      </w:r>
      <w:r w:rsidR="00F249A5" w:rsidDel="00225D4E">
        <w:rPr>
          <w:rFonts w:cs="Arial"/>
          <w:szCs w:val="22"/>
        </w:rPr>
        <w:t>,</w:t>
      </w:r>
      <w:r w:rsidDel="00225D4E">
        <w:rPr>
          <w:rFonts w:cs="Arial"/>
          <w:szCs w:val="22"/>
        </w:rPr>
        <w:t xml:space="preserve"> </w:t>
      </w:r>
      <w:r w:rsidR="00F249A5">
        <w:rPr>
          <w:rFonts w:cs="Arial"/>
          <w:szCs w:val="22"/>
        </w:rPr>
        <w:t>engag</w:t>
      </w:r>
      <w:r w:rsidR="00225D4E">
        <w:rPr>
          <w:rFonts w:cs="Arial"/>
          <w:szCs w:val="22"/>
        </w:rPr>
        <w:t>e</w:t>
      </w:r>
      <w:r w:rsidR="00F249A5">
        <w:rPr>
          <w:rFonts w:cs="Arial"/>
          <w:szCs w:val="22"/>
        </w:rPr>
        <w:t xml:space="preserve"> people with supports </w:t>
      </w:r>
      <w:r w:rsidR="00F249A5">
        <w:t>to</w:t>
      </w:r>
      <w:r>
        <w:t xml:space="preserve"> address the underlying causes of the offending behaviour, </w:t>
      </w:r>
      <w:r w:rsidR="00F249A5">
        <w:t>and reduc</w:t>
      </w:r>
      <w:r w:rsidR="00225D4E">
        <w:t>e</w:t>
      </w:r>
      <w:r>
        <w:t xml:space="preserve"> </w:t>
      </w:r>
      <w:r w:rsidR="00225D4E">
        <w:t xml:space="preserve">the </w:t>
      </w:r>
      <w:r>
        <w:t>stigma and distress associated with criminal proceedings.</w:t>
      </w:r>
      <w:r w:rsidR="002E7C0E" w:rsidRPr="002E7C0E">
        <w:t xml:space="preserve"> </w:t>
      </w:r>
      <w:r w:rsidR="002E7C0E">
        <w:t xml:space="preserve">Studies </w:t>
      </w:r>
      <w:r w:rsidR="002E7C0E" w:rsidRPr="002F53CF">
        <w:rPr>
          <w:szCs w:val="22"/>
        </w:rPr>
        <w:t xml:space="preserve">indicate that a young offender who participates in a diversion program is far less likely to reoffend than a young person whose case is determined in court and is subsequently incarcerated, even where the seriousness of the offending is </w:t>
      </w:r>
      <w:proofErr w:type="gramStart"/>
      <w:r w:rsidR="002E7C0E" w:rsidRPr="002F53CF">
        <w:rPr>
          <w:szCs w:val="22"/>
        </w:rPr>
        <w:t>take</w:t>
      </w:r>
      <w:r w:rsidR="002E7C0E">
        <w:rPr>
          <w:szCs w:val="22"/>
        </w:rPr>
        <w:t>n</w:t>
      </w:r>
      <w:r w:rsidR="002E7C0E" w:rsidRPr="002F53CF">
        <w:rPr>
          <w:szCs w:val="22"/>
        </w:rPr>
        <w:t xml:space="preserve"> into account</w:t>
      </w:r>
      <w:proofErr w:type="gramEnd"/>
      <w:r w:rsidR="002E7C0E" w:rsidRPr="002F53CF">
        <w:rPr>
          <w:szCs w:val="22"/>
        </w:rPr>
        <w:t>.</w:t>
      </w:r>
      <w:r w:rsidR="00F249A5" w:rsidRPr="002F53CF">
        <w:rPr>
          <w:rStyle w:val="FootnoteReference"/>
          <w:szCs w:val="22"/>
        </w:rPr>
        <w:footnoteReference w:id="161"/>
      </w:r>
      <w:r w:rsidR="00F249A5">
        <w:t xml:space="preserve"> </w:t>
      </w:r>
    </w:p>
    <w:p w14:paraId="4D7F61A1" w14:textId="4C38F3D9" w:rsidR="009679EB" w:rsidRDefault="00F249A5" w:rsidP="00D36B14">
      <w:r>
        <w:t xml:space="preserve">However, </w:t>
      </w:r>
      <w:r w:rsidR="009679EB">
        <w:t>t</w:t>
      </w:r>
      <w:r w:rsidR="00D36B14">
        <w:t>he use of diversions in Victoria has steadily decreased, from 25.6 per cent of matters receiving diversion in 2008-09 to 12.5 per cent of matters in 2016-17.</w:t>
      </w:r>
      <w:r w:rsidR="00D36B14" w:rsidRPr="00F207E3">
        <w:rPr>
          <w:rStyle w:val="FootnoteReference"/>
          <w:rFonts w:eastAsia="Arial"/>
        </w:rPr>
        <w:footnoteReference w:id="162"/>
      </w:r>
      <w:r w:rsidR="00D36B14">
        <w:rPr>
          <w:rFonts w:cs="Arial"/>
        </w:rPr>
        <w:t xml:space="preserve"> </w:t>
      </w:r>
      <w:r w:rsidR="009679EB">
        <w:rPr>
          <w:rFonts w:cs="Arial"/>
        </w:rPr>
        <w:t xml:space="preserve">Data also highlights </w:t>
      </w:r>
      <w:r>
        <w:t xml:space="preserve">the </w:t>
      </w:r>
      <w:r w:rsidR="009679EB">
        <w:t xml:space="preserve">inconsistent application </w:t>
      </w:r>
      <w:r>
        <w:t>of</w:t>
      </w:r>
      <w:r w:rsidR="00706B9C">
        <w:t xml:space="preserve"> cautioning and consent for diversion </w:t>
      </w:r>
      <w:r>
        <w:t xml:space="preserve">across </w:t>
      </w:r>
      <w:r w:rsidR="009679EB">
        <w:t xml:space="preserve">Victorian </w:t>
      </w:r>
      <w:r>
        <w:t xml:space="preserve">regions and </w:t>
      </w:r>
      <w:r w:rsidR="009679EB">
        <w:t xml:space="preserve">police </w:t>
      </w:r>
      <w:r>
        <w:t>stations</w:t>
      </w:r>
      <w:r w:rsidR="00661B75">
        <w:t>.</w:t>
      </w:r>
      <w:r w:rsidR="00706B9C" w:rsidRPr="00F207E3">
        <w:rPr>
          <w:rStyle w:val="FootnoteReference"/>
          <w:rFonts w:eastAsia="Arial"/>
        </w:rPr>
        <w:footnoteReference w:id="163"/>
      </w:r>
      <w:r w:rsidR="00F6009B">
        <w:t xml:space="preserve"> </w:t>
      </w:r>
    </w:p>
    <w:p w14:paraId="5A17FF4E" w14:textId="187176B8" w:rsidR="00706B9C" w:rsidRDefault="00661B75" w:rsidP="00706B9C">
      <w:pPr>
        <w:rPr>
          <w:lang w:eastAsia="en-AU"/>
        </w:rPr>
      </w:pPr>
      <w:r>
        <w:t>S</w:t>
      </w:r>
      <w:r w:rsidR="00126E15">
        <w:t>uccess</w:t>
      </w:r>
      <w:r w:rsidR="009679EB">
        <w:t>ful diversionary responses</w:t>
      </w:r>
      <w:r w:rsidR="00126E15">
        <w:t xml:space="preserve"> </w:t>
      </w:r>
      <w:r w:rsidR="009679EB">
        <w:t>are</w:t>
      </w:r>
      <w:r w:rsidR="00F6009B">
        <w:t xml:space="preserve"> reliant on funded services</w:t>
      </w:r>
      <w:r w:rsidR="00126E15">
        <w:t xml:space="preserve"> which can help people address underlying issues.</w:t>
      </w:r>
      <w:r w:rsidR="009679EB">
        <w:t xml:space="preserve"> </w:t>
      </w:r>
      <w:r w:rsidR="00706B9C">
        <w:t>T</w:t>
      </w:r>
      <w:r w:rsidR="00706B9C" w:rsidRPr="005A3A55">
        <w:t xml:space="preserve">he improved interaction </w:t>
      </w:r>
      <w:r w:rsidR="00706B9C">
        <w:t xml:space="preserve">and integration </w:t>
      </w:r>
      <w:r w:rsidR="00706B9C" w:rsidRPr="005A3A55">
        <w:t>between social, mental health and legal services is critical to ensuring better outcomes for people with mental health issues in the community</w:t>
      </w:r>
      <w:r w:rsidR="00706B9C">
        <w:rPr>
          <w:szCs w:val="22"/>
        </w:rPr>
        <w:t xml:space="preserve">. </w:t>
      </w:r>
    </w:p>
    <w:p w14:paraId="65AA37F6" w14:textId="40524848" w:rsidR="00706B9C" w:rsidRPr="00A17FA6" w:rsidRDefault="00A17FA6" w:rsidP="00CB2A3F">
      <w:pPr>
        <w:shd w:val="clear" w:color="auto" w:fill="DEEAF6" w:themeFill="accent5" w:themeFillTint="33"/>
        <w:spacing w:line="240" w:lineRule="auto"/>
        <w:ind w:left="426"/>
      </w:pPr>
      <w:bookmarkStart w:id="3551" w:name="_Toc40355780"/>
      <w:bookmarkStart w:id="3552" w:name="_Toc41325428"/>
      <w:bookmarkStart w:id="3553" w:name="_Toc41332837"/>
      <w:bookmarkStart w:id="3554" w:name="_Toc41412015"/>
      <w:r w:rsidRPr="00B9060C">
        <w:rPr>
          <w:b/>
          <w:bCs/>
        </w:rPr>
        <w:t xml:space="preserve">Recommendation </w:t>
      </w:r>
      <w:r>
        <w:rPr>
          <w:b/>
          <w:bCs/>
        </w:rPr>
        <w:t xml:space="preserve">46: </w:t>
      </w:r>
      <w:r w:rsidR="009679EB" w:rsidRPr="00A17FA6">
        <w:rPr>
          <w:b/>
          <w:bCs/>
        </w:rPr>
        <w:t xml:space="preserve">Increase </w:t>
      </w:r>
      <w:r w:rsidR="002A3613" w:rsidRPr="00A17FA6">
        <w:rPr>
          <w:b/>
          <w:bCs/>
        </w:rPr>
        <w:t>use</w:t>
      </w:r>
      <w:r w:rsidR="009679EB" w:rsidRPr="00A17FA6">
        <w:rPr>
          <w:b/>
          <w:bCs/>
        </w:rPr>
        <w:t xml:space="preserve"> of c</w:t>
      </w:r>
      <w:r w:rsidR="003B7259" w:rsidRPr="00A17FA6">
        <w:rPr>
          <w:b/>
          <w:bCs/>
        </w:rPr>
        <w:t>autions and diversions</w:t>
      </w:r>
      <w:bookmarkEnd w:id="3551"/>
      <w:bookmarkEnd w:id="3552"/>
      <w:bookmarkEnd w:id="3553"/>
      <w:bookmarkEnd w:id="3554"/>
      <w:r w:rsidR="003B7259" w:rsidRPr="00A17FA6">
        <w:rPr>
          <w:b/>
          <w:bCs/>
        </w:rPr>
        <w:t xml:space="preserve"> </w:t>
      </w:r>
    </w:p>
    <w:p w14:paraId="38F2A08C" w14:textId="77777777" w:rsidR="00AC29CB" w:rsidRPr="00A17FA6" w:rsidRDefault="003B7259" w:rsidP="00CB2A3F">
      <w:pPr>
        <w:shd w:val="clear" w:color="auto" w:fill="DEEAF6" w:themeFill="accent5" w:themeFillTint="33"/>
        <w:spacing w:line="276" w:lineRule="auto"/>
        <w:ind w:left="426"/>
      </w:pPr>
      <w:r w:rsidRPr="00A17FA6">
        <w:t>The Victorian Government should</w:t>
      </w:r>
      <w:r w:rsidR="00AC29CB" w:rsidRPr="00A17FA6">
        <w:t>:</w:t>
      </w:r>
    </w:p>
    <w:p w14:paraId="5A3B9DB3" w14:textId="2C640985" w:rsidR="00A17FA6" w:rsidRPr="00CB2A3F" w:rsidRDefault="003B7259" w:rsidP="00984FB7">
      <w:pPr>
        <w:pStyle w:val="ListParagraph"/>
        <w:numPr>
          <w:ilvl w:val="0"/>
          <w:numId w:val="19"/>
        </w:numPr>
        <w:shd w:val="clear" w:color="auto" w:fill="DEEAF6" w:themeFill="accent5" w:themeFillTint="33"/>
        <w:spacing w:line="276" w:lineRule="auto"/>
        <w:ind w:left="851" w:hanging="425"/>
        <w:contextualSpacing w:val="0"/>
      </w:pPr>
      <w:r w:rsidRPr="00A17FA6">
        <w:t xml:space="preserve">introduce a legislated cautioning scheme for children and adults, with an expanded range of offences for </w:t>
      </w:r>
      <w:r w:rsidRPr="00CB2A3F">
        <w:t>which a caution can be given, available</w:t>
      </w:r>
      <w:r w:rsidR="00AC29CB" w:rsidRPr="00CB2A3F">
        <w:t xml:space="preserve"> </w:t>
      </w:r>
      <w:r w:rsidRPr="00CB2A3F">
        <w:t>if the accused does ‘not deny’ the offence (rather than requiring the accused to admit the offence), and</w:t>
      </w:r>
      <w:r w:rsidR="00AC29CB" w:rsidRPr="00CB2A3F">
        <w:t xml:space="preserve"> </w:t>
      </w:r>
      <w:r w:rsidRPr="00A17FA6">
        <w:t>empowering the Children’s Court to issue cautions on the same terms as police</w:t>
      </w:r>
      <w:r w:rsidR="00AC29CB" w:rsidRPr="00A17FA6">
        <w:t>;</w:t>
      </w:r>
    </w:p>
    <w:p w14:paraId="2412E7D1" w14:textId="14CE0E0F" w:rsidR="00A17FA6" w:rsidRPr="00CB2A3F" w:rsidRDefault="00AC29CB" w:rsidP="00984FB7">
      <w:pPr>
        <w:pStyle w:val="ListParagraph"/>
        <w:numPr>
          <w:ilvl w:val="0"/>
          <w:numId w:val="19"/>
        </w:numPr>
        <w:shd w:val="clear" w:color="auto" w:fill="DEEAF6" w:themeFill="accent5" w:themeFillTint="33"/>
        <w:spacing w:line="276" w:lineRule="auto"/>
        <w:ind w:left="851" w:hanging="425"/>
        <w:contextualSpacing w:val="0"/>
      </w:pPr>
      <w:r w:rsidRPr="00A17FA6">
        <w:t xml:space="preserve">amend </w:t>
      </w:r>
      <w:r w:rsidR="00B22DF1" w:rsidRPr="00A17FA6">
        <w:t xml:space="preserve">the </w:t>
      </w:r>
      <w:r w:rsidR="00B22DF1" w:rsidRPr="00CB2A3F">
        <w:t>Criminal Procedure Act</w:t>
      </w:r>
      <w:r w:rsidR="00285922" w:rsidRPr="00CB2A3F">
        <w:t xml:space="preserve"> 2009 </w:t>
      </w:r>
      <w:r w:rsidR="00285922" w:rsidRPr="00A17FA6">
        <w:t>(Vic)</w:t>
      </w:r>
      <w:r w:rsidRPr="00A17FA6">
        <w:t xml:space="preserve"> </w:t>
      </w:r>
      <w:r w:rsidR="00B22DF1" w:rsidRPr="00A17FA6">
        <w:t xml:space="preserve">and the </w:t>
      </w:r>
      <w:r w:rsidR="00B22DF1" w:rsidRPr="00CB2A3F">
        <w:t xml:space="preserve">Children Youth and Families Act 2005 </w:t>
      </w:r>
      <w:r w:rsidR="00B22DF1" w:rsidRPr="00A17FA6">
        <w:t xml:space="preserve">(Vic) </w:t>
      </w:r>
      <w:r w:rsidRPr="00A17FA6">
        <w:t>to empower t</w:t>
      </w:r>
      <w:r w:rsidR="003B7259" w:rsidRPr="00A17FA6">
        <w:t xml:space="preserve">he Magistrates’ and Children’s Courts </w:t>
      </w:r>
      <w:r w:rsidRPr="00A17FA6">
        <w:t>to order a</w:t>
      </w:r>
      <w:r w:rsidR="003B7259" w:rsidRPr="00A17FA6">
        <w:t xml:space="preserve"> court diversion without </w:t>
      </w:r>
      <w:r w:rsidRPr="00A17FA6">
        <w:t>the</w:t>
      </w:r>
      <w:r w:rsidR="003B7259" w:rsidRPr="00A17FA6">
        <w:t xml:space="preserve"> prosecutor</w:t>
      </w:r>
      <w:r w:rsidRPr="00A17FA6">
        <w:t>’s consent</w:t>
      </w:r>
      <w:r w:rsidR="00285922" w:rsidRPr="00A17FA6">
        <w:t>; and</w:t>
      </w:r>
      <w:r w:rsidR="00B22DF1" w:rsidRPr="00A17FA6">
        <w:t xml:space="preserve"> </w:t>
      </w:r>
    </w:p>
    <w:p w14:paraId="202A8F45" w14:textId="73A6B80B" w:rsidR="003B7259" w:rsidRPr="00A17FA6" w:rsidRDefault="00AC29CB" w:rsidP="00984FB7">
      <w:pPr>
        <w:pStyle w:val="ListParagraph"/>
        <w:numPr>
          <w:ilvl w:val="0"/>
          <w:numId w:val="19"/>
        </w:numPr>
        <w:shd w:val="clear" w:color="auto" w:fill="DEEAF6" w:themeFill="accent5" w:themeFillTint="33"/>
        <w:spacing w:line="276" w:lineRule="auto"/>
        <w:ind w:left="851" w:hanging="425"/>
        <w:contextualSpacing w:val="0"/>
      </w:pPr>
      <w:r w:rsidRPr="00A17FA6">
        <w:t xml:space="preserve">improve the availability of </w:t>
      </w:r>
      <w:r w:rsidR="00C86D88" w:rsidRPr="00A17FA6">
        <w:t>effective</w:t>
      </w:r>
      <w:r w:rsidRPr="00A17FA6">
        <w:t xml:space="preserve"> diversionary options, particularly from shared service providers or integrated partnerships which can address intersecting issues</w:t>
      </w:r>
      <w:r w:rsidR="003B7259" w:rsidRPr="00A17FA6">
        <w:t>.</w:t>
      </w:r>
    </w:p>
    <w:p w14:paraId="3E38754E" w14:textId="4039614E" w:rsidR="003B7259" w:rsidRPr="00A17FA6" w:rsidRDefault="003B7259" w:rsidP="00CB2A3F">
      <w:pPr>
        <w:shd w:val="clear" w:color="auto" w:fill="DEEAF6" w:themeFill="accent5" w:themeFillTint="33"/>
        <w:spacing w:line="276" w:lineRule="auto"/>
        <w:ind w:left="426"/>
      </w:pPr>
      <w:r w:rsidRPr="00A17FA6">
        <w:t>Victoria Police</w:t>
      </w:r>
      <w:r w:rsidRPr="00CB2A3F">
        <w:t xml:space="preserve"> </w:t>
      </w:r>
      <w:r w:rsidRPr="00A17FA6">
        <w:t xml:space="preserve">should review police cautioning and diversion policies, and provide additional training to increase use and consistency across </w:t>
      </w:r>
      <w:r w:rsidR="00AC29CB" w:rsidRPr="00A17FA6">
        <w:t>Victoria</w:t>
      </w:r>
      <w:r w:rsidRPr="00CB2A3F">
        <w:t>.</w:t>
      </w:r>
    </w:p>
    <w:p w14:paraId="477349A6" w14:textId="588E8CC9" w:rsidR="00706B9C" w:rsidRDefault="00706B9C" w:rsidP="00E630C0">
      <w:pPr>
        <w:pStyle w:val="Heading3"/>
      </w:pPr>
      <w:bookmarkStart w:id="3555" w:name="_Toc40215820"/>
      <w:bookmarkStart w:id="3556" w:name="_Toc40215821"/>
      <w:bookmarkStart w:id="3557" w:name="_Toc40215822"/>
      <w:bookmarkStart w:id="3558" w:name="_Toc40215823"/>
      <w:bookmarkStart w:id="3559" w:name="_Toc40215824"/>
      <w:bookmarkStart w:id="3560" w:name="_Toc40124933"/>
      <w:bookmarkEnd w:id="3555"/>
      <w:bookmarkEnd w:id="3556"/>
      <w:bookmarkEnd w:id="3557"/>
      <w:bookmarkEnd w:id="3558"/>
      <w:bookmarkEnd w:id="3559"/>
      <w:r>
        <w:t>S</w:t>
      </w:r>
      <w:r w:rsidRPr="00ED2625">
        <w:t>ummons</w:t>
      </w:r>
      <w:r w:rsidRPr="0002256C">
        <w:t xml:space="preserve"> </w:t>
      </w:r>
      <w:r>
        <w:t xml:space="preserve">and </w:t>
      </w:r>
      <w:r w:rsidRPr="0002256C">
        <w:t xml:space="preserve">Notice to Appear </w:t>
      </w:r>
      <w:r>
        <w:t>rather than arrest and bail</w:t>
      </w:r>
      <w:bookmarkEnd w:id="3560"/>
    </w:p>
    <w:p w14:paraId="66070444" w14:textId="39039A80" w:rsidR="00AC29CB" w:rsidRDefault="00AC29CB" w:rsidP="00AC29CB">
      <w:r>
        <w:t>Where a prosecution is considered necessary</w:t>
      </w:r>
      <w:r w:rsidRPr="00F56676">
        <w:t xml:space="preserve">, </w:t>
      </w:r>
      <w:r>
        <w:t>p</w:t>
      </w:r>
      <w:r w:rsidRPr="00F56676">
        <w:t>olice should proceed by way of Summons</w:t>
      </w:r>
      <w:r>
        <w:t xml:space="preserve"> or Notice to Appear,</w:t>
      </w:r>
      <w:r w:rsidRPr="00F56676">
        <w:t xml:space="preserve"> rather than arrest</w:t>
      </w:r>
      <w:r>
        <w:t xml:space="preserve"> and bail wherever possible. This approach has </w:t>
      </w:r>
      <w:proofErr w:type="gramStart"/>
      <w:r>
        <w:t>a number of</w:t>
      </w:r>
      <w:proofErr w:type="gramEnd"/>
      <w:r>
        <w:t xml:space="preserve"> benefits:</w:t>
      </w:r>
    </w:p>
    <w:p w14:paraId="7746F6CE" w14:textId="1F48AA4C" w:rsidR="00AC29CB" w:rsidRDefault="00285922" w:rsidP="00904F90">
      <w:pPr>
        <w:pStyle w:val="Listbulletcoloured"/>
      </w:pPr>
      <w:r>
        <w:lastRenderedPageBreak/>
        <w:t>k</w:t>
      </w:r>
      <w:r w:rsidR="0086367A">
        <w:t>eeping p</w:t>
      </w:r>
      <w:r w:rsidR="00AC29CB" w:rsidRPr="00F56676">
        <w:t>eople experiencing mental health issues connected to treatment and support in the community</w:t>
      </w:r>
      <w:r w:rsidR="00AC29CB">
        <w:t xml:space="preserve">, and avoiding harmful experiences in custody; </w:t>
      </w:r>
    </w:p>
    <w:p w14:paraId="1F17AE12" w14:textId="41B9FAF4" w:rsidR="00AC29CB" w:rsidRPr="004F7C7B" w:rsidRDefault="00285922" w:rsidP="00904F90">
      <w:pPr>
        <w:pStyle w:val="Listbulletcoloured"/>
      </w:pPr>
      <w:r>
        <w:t>r</w:t>
      </w:r>
      <w:proofErr w:type="spellStart"/>
      <w:r w:rsidR="00AC29CB" w:rsidRPr="00AC29CB">
        <w:rPr>
          <w:lang w:val="en-US"/>
        </w:rPr>
        <w:t>educ</w:t>
      </w:r>
      <w:r w:rsidR="00AC29CB">
        <w:rPr>
          <w:lang w:val="en-US"/>
        </w:rPr>
        <w:t>ing</w:t>
      </w:r>
      <w:proofErr w:type="spellEnd"/>
      <w:r w:rsidR="00AC29CB" w:rsidRPr="00AC29CB">
        <w:rPr>
          <w:lang w:val="en-US"/>
        </w:rPr>
        <w:t xml:space="preserve"> the number of people </w:t>
      </w:r>
      <w:r w:rsidR="00AC29CB">
        <w:rPr>
          <w:lang w:val="en-US"/>
        </w:rPr>
        <w:t>on</w:t>
      </w:r>
      <w:r w:rsidR="00AC29CB" w:rsidRPr="00AC29CB">
        <w:rPr>
          <w:lang w:val="en-US"/>
        </w:rPr>
        <w:t xml:space="preserve"> remand</w:t>
      </w:r>
      <w:r w:rsidR="00AC29CB">
        <w:rPr>
          <w:lang w:val="en-US"/>
        </w:rPr>
        <w:t>;</w:t>
      </w:r>
    </w:p>
    <w:p w14:paraId="2B14D432" w14:textId="16DD3836" w:rsidR="00AC29CB" w:rsidRDefault="00285922" w:rsidP="00904F90">
      <w:pPr>
        <w:pStyle w:val="Listbulletcoloured"/>
      </w:pPr>
      <w:r>
        <w:rPr>
          <w:lang w:val="en-US"/>
        </w:rPr>
        <w:t>r</w:t>
      </w:r>
      <w:r w:rsidR="00AC29CB">
        <w:rPr>
          <w:lang w:val="en-US"/>
        </w:rPr>
        <w:t>educing</w:t>
      </w:r>
      <w:r w:rsidR="00AC29CB">
        <w:t xml:space="preserve"> </w:t>
      </w:r>
      <w:r w:rsidR="00AC29CB" w:rsidRPr="0002256C">
        <w:t xml:space="preserve">the risk of a person </w:t>
      </w:r>
      <w:r w:rsidR="00AC29CB">
        <w:t>being held in custody</w:t>
      </w:r>
      <w:r w:rsidR="00AC29CB" w:rsidRPr="0002256C">
        <w:t xml:space="preserve"> for minor offending</w:t>
      </w:r>
      <w:r w:rsidR="00AC29CB">
        <w:t xml:space="preserve"> which would not attract a term of imprisonment;</w:t>
      </w:r>
    </w:p>
    <w:p w14:paraId="50C7D027" w14:textId="3FC233BA" w:rsidR="00AC29CB" w:rsidRPr="004F7C7B" w:rsidRDefault="00285922" w:rsidP="00904F90">
      <w:pPr>
        <w:pStyle w:val="Listbulletcoloured"/>
      </w:pPr>
      <w:r>
        <w:rPr>
          <w:lang w:val="en-US"/>
        </w:rPr>
        <w:t>a</w:t>
      </w:r>
      <w:r w:rsidR="00AC29CB" w:rsidRPr="00AC29CB">
        <w:rPr>
          <w:lang w:val="en-US"/>
        </w:rPr>
        <w:t>vert</w:t>
      </w:r>
      <w:r w:rsidR="00AC29CB">
        <w:rPr>
          <w:lang w:val="en-US"/>
        </w:rPr>
        <w:t>ing</w:t>
      </w:r>
      <w:r w:rsidR="00AC29CB" w:rsidRPr="00AC29CB">
        <w:rPr>
          <w:lang w:val="en-US"/>
        </w:rPr>
        <w:t xml:space="preserve"> escalation through the reverse onus thresholds for bail and further remand due breaching a bail</w:t>
      </w:r>
      <w:r w:rsidR="00AC29CB">
        <w:rPr>
          <w:lang w:val="en-US"/>
        </w:rPr>
        <w:t xml:space="preserve">; </w:t>
      </w:r>
      <w:r w:rsidR="00AC29CB" w:rsidRPr="00AC29CB">
        <w:rPr>
          <w:lang w:val="en-US"/>
        </w:rPr>
        <w:t>and</w:t>
      </w:r>
    </w:p>
    <w:p w14:paraId="0D5DFD5F" w14:textId="5DEF6E3D" w:rsidR="00AC29CB" w:rsidRPr="0002256C" w:rsidRDefault="00285922" w:rsidP="00904F90">
      <w:pPr>
        <w:pStyle w:val="Listbulletcoloured"/>
      </w:pPr>
      <w:r>
        <w:rPr>
          <w:lang w:val="en-US"/>
        </w:rPr>
        <w:t>r</w:t>
      </w:r>
      <w:r w:rsidR="00AC29CB">
        <w:rPr>
          <w:lang w:val="en-US"/>
        </w:rPr>
        <w:t>educing</w:t>
      </w:r>
      <w:r w:rsidR="00AC29CB" w:rsidRPr="00AC29CB">
        <w:rPr>
          <w:lang w:val="en-US"/>
        </w:rPr>
        <w:t xml:space="preserve"> the volume of matters in </w:t>
      </w:r>
      <w:r w:rsidR="00AC29CB">
        <w:t xml:space="preserve">the Magistrates’ Court and high levels of demand for court-based support services (e.g. </w:t>
      </w:r>
      <w:r w:rsidR="002C0248">
        <w:t>Court Integrated Services Program (</w:t>
      </w:r>
      <w:r w:rsidR="002C0248" w:rsidRPr="00260B25">
        <w:rPr>
          <w:b/>
          <w:bCs/>
        </w:rPr>
        <w:t>CISP</w:t>
      </w:r>
      <w:r w:rsidR="00AC29CB">
        <w:t>)</w:t>
      </w:r>
      <w:r w:rsidR="002C0248">
        <w:t>)</w:t>
      </w:r>
      <w:r w:rsidR="00AC29CB">
        <w:t>.</w:t>
      </w:r>
    </w:p>
    <w:p w14:paraId="74B2F7AE" w14:textId="7F89DCBE" w:rsidR="00AC29CB" w:rsidRDefault="00AC29CB" w:rsidP="004F7C7B">
      <w:r>
        <w:t>O</w:t>
      </w:r>
      <w:r w:rsidRPr="002F53CF">
        <w:t>ur lawyers’ experience is that the majority of charges proceed by bail rather than summons</w:t>
      </w:r>
      <w:r>
        <w:t xml:space="preserve">, even charges against children </w:t>
      </w:r>
      <w:r w:rsidR="00926231">
        <w:t>–</w:t>
      </w:r>
      <w:r>
        <w:t xml:space="preserve"> despite the </w:t>
      </w:r>
      <w:r w:rsidRPr="002F53CF">
        <w:t>presumption to proceed by summons in</w:t>
      </w:r>
      <w:r>
        <w:t xml:space="preserve"> the </w:t>
      </w:r>
      <w:r w:rsidRPr="00AC29CB">
        <w:rPr>
          <w:i/>
          <w:iCs/>
        </w:rPr>
        <w:t xml:space="preserve">Children Youth and Families Act 2005 </w:t>
      </w:r>
      <w:r>
        <w:t>(Vic) .</w:t>
      </w:r>
      <w:r w:rsidRPr="002F53CF">
        <w:rPr>
          <w:rStyle w:val="FootnoteReference"/>
        </w:rPr>
        <w:footnoteReference w:id="164"/>
      </w:r>
      <w:r w:rsidRPr="00AC29CB">
        <w:rPr>
          <w:iCs/>
        </w:rPr>
        <w:t xml:space="preserve"> </w:t>
      </w:r>
      <w:r w:rsidRPr="0002256C">
        <w:t xml:space="preserve">There </w:t>
      </w:r>
      <w:r>
        <w:t xml:space="preserve">has also </w:t>
      </w:r>
      <w:r w:rsidRPr="0002256C">
        <w:t xml:space="preserve">been </w:t>
      </w:r>
      <w:r>
        <w:t>limited</w:t>
      </w:r>
      <w:r w:rsidRPr="0002256C">
        <w:t xml:space="preserve"> use of the Notice to Appear process introduced as part of the criminal procedure reforms</w:t>
      </w:r>
      <w:r>
        <w:t xml:space="preserve"> in 2009</w:t>
      </w:r>
      <w:r w:rsidRPr="0002256C">
        <w:t>.</w:t>
      </w:r>
      <w:r w:rsidRPr="0002256C">
        <w:rPr>
          <w:rStyle w:val="FootnoteReference"/>
        </w:rPr>
        <w:footnoteReference w:id="165"/>
      </w:r>
      <w:r w:rsidRPr="0002256C">
        <w:t xml:space="preserve"> </w:t>
      </w:r>
      <w:r w:rsidRPr="00AC29CB">
        <w:rPr>
          <w:szCs w:val="18"/>
        </w:rPr>
        <w:t>Justice Coghlan’s Bail Advice recommended that the Notice to Appear process be reviewed and reformed to ensure that it operates effectively.</w:t>
      </w:r>
      <w:r>
        <w:rPr>
          <w:rStyle w:val="FootnoteReference"/>
          <w:szCs w:val="18"/>
        </w:rPr>
        <w:footnoteReference w:id="166"/>
      </w:r>
    </w:p>
    <w:p w14:paraId="10D4B4F1" w14:textId="4C89A330" w:rsidR="00AC29CB" w:rsidRDefault="00AC29CB" w:rsidP="004F7C7B">
      <w:r>
        <w:t xml:space="preserve">Further incentives may be required to increase routine use of Summons or Notice to Appear. For example, removing the requirement for senior authorisation for issuing a summons, </w:t>
      </w:r>
      <w:r w:rsidR="00926231">
        <w:t xml:space="preserve">increasing </w:t>
      </w:r>
      <w:r w:rsidR="00926231">
        <w:rPr>
          <w:lang w:val="en-US" w:eastAsia="en-AU"/>
        </w:rPr>
        <w:t xml:space="preserve">the seniority of the </w:t>
      </w:r>
      <w:r w:rsidR="00926231" w:rsidRPr="00FF7034">
        <w:rPr>
          <w:lang w:eastAsia="en-AU"/>
        </w:rPr>
        <w:t>authorisation</w:t>
      </w:r>
      <w:r w:rsidR="00926231">
        <w:rPr>
          <w:lang w:val="en-US" w:eastAsia="en-AU"/>
        </w:rPr>
        <w:t xml:space="preserve"> </w:t>
      </w:r>
      <w:r>
        <w:t>requir</w:t>
      </w:r>
      <w:r w:rsidR="00926231">
        <w:t>ed</w:t>
      </w:r>
      <w:r>
        <w:t xml:space="preserve"> for issuing a charge sheet, or requiring the arresting officer to state on the charge sheet why proceeding by </w:t>
      </w:r>
      <w:r w:rsidR="002C0248">
        <w:t>S</w:t>
      </w:r>
      <w:r>
        <w:t xml:space="preserve">ummons or </w:t>
      </w:r>
      <w:r w:rsidR="002C0248">
        <w:t>N</w:t>
      </w:r>
      <w:r>
        <w:t xml:space="preserve">otice to </w:t>
      </w:r>
      <w:r w:rsidR="002C0248">
        <w:t>A</w:t>
      </w:r>
      <w:r>
        <w:t>ppear was not appropriate.</w:t>
      </w:r>
    </w:p>
    <w:p w14:paraId="4B2E363A" w14:textId="578AFD48" w:rsidR="00AC29CB" w:rsidRPr="00A17FA6" w:rsidRDefault="00A17FA6" w:rsidP="00CB2A3F">
      <w:pPr>
        <w:shd w:val="clear" w:color="auto" w:fill="DEEAF6" w:themeFill="accent5" w:themeFillTint="33"/>
        <w:spacing w:before="240" w:line="276" w:lineRule="auto"/>
        <w:ind w:left="426"/>
      </w:pPr>
      <w:bookmarkStart w:id="3561" w:name="_Toc40193407"/>
      <w:bookmarkStart w:id="3562" w:name="_Toc40355781"/>
      <w:bookmarkStart w:id="3563" w:name="_Toc41325429"/>
      <w:bookmarkStart w:id="3564" w:name="_Toc41332838"/>
      <w:bookmarkStart w:id="3565" w:name="_Toc41412016"/>
      <w:r w:rsidRPr="00B9060C">
        <w:rPr>
          <w:b/>
          <w:bCs/>
        </w:rPr>
        <w:t xml:space="preserve">Recommendation </w:t>
      </w:r>
      <w:r>
        <w:rPr>
          <w:b/>
          <w:bCs/>
        </w:rPr>
        <w:t>47:</w:t>
      </w:r>
      <w:r w:rsidR="000833C6">
        <w:rPr>
          <w:b/>
          <w:bCs/>
        </w:rPr>
        <w:tab/>
      </w:r>
      <w:r>
        <w:rPr>
          <w:b/>
          <w:bCs/>
        </w:rPr>
        <w:t xml:space="preserve"> </w:t>
      </w:r>
      <w:r w:rsidR="007B64F8" w:rsidRPr="00A17FA6">
        <w:rPr>
          <w:b/>
          <w:bCs/>
        </w:rPr>
        <w:t>Increase p</w:t>
      </w:r>
      <w:r w:rsidR="00AC29CB" w:rsidRPr="00A17FA6">
        <w:rPr>
          <w:b/>
          <w:bCs/>
        </w:rPr>
        <w:t xml:space="preserve">rosecutions </w:t>
      </w:r>
      <w:r w:rsidR="002A3613" w:rsidRPr="00A17FA6">
        <w:rPr>
          <w:b/>
          <w:bCs/>
        </w:rPr>
        <w:t>initiated</w:t>
      </w:r>
      <w:r w:rsidR="00AC29CB" w:rsidRPr="00A17FA6">
        <w:rPr>
          <w:b/>
          <w:bCs/>
        </w:rPr>
        <w:t xml:space="preserve"> by Summons or Notice to Appear</w:t>
      </w:r>
      <w:bookmarkEnd w:id="3561"/>
      <w:bookmarkEnd w:id="3562"/>
      <w:bookmarkEnd w:id="3563"/>
      <w:bookmarkEnd w:id="3564"/>
      <w:bookmarkEnd w:id="3565"/>
      <w:r w:rsidR="00AC29CB" w:rsidRPr="00A17FA6">
        <w:rPr>
          <w:b/>
          <w:bCs/>
        </w:rPr>
        <w:t xml:space="preserve"> </w:t>
      </w:r>
    </w:p>
    <w:p w14:paraId="46E31D25" w14:textId="7F122B5B" w:rsidR="00AC29CB" w:rsidRPr="00A17FA6" w:rsidRDefault="00AC29CB" w:rsidP="00CB2A3F">
      <w:pPr>
        <w:shd w:val="clear" w:color="auto" w:fill="DEEAF6" w:themeFill="accent5" w:themeFillTint="33"/>
        <w:spacing w:line="276" w:lineRule="auto"/>
        <w:ind w:left="426"/>
      </w:pPr>
      <w:r w:rsidRPr="00CB2A3F">
        <w:t>Victoria Police should proceed by way of Summons or Notice to Appear rather than arrest whenever possible, to ensure people experiencing mental health issues can remain connected to treatment and support in the community.</w:t>
      </w:r>
    </w:p>
    <w:p w14:paraId="11E1F8A0" w14:textId="5BD2B93C" w:rsidR="00AC29CB" w:rsidRPr="00A17FA6" w:rsidRDefault="00AC29CB" w:rsidP="00CB2A3F">
      <w:pPr>
        <w:shd w:val="clear" w:color="auto" w:fill="DEEAF6" w:themeFill="accent5" w:themeFillTint="33"/>
        <w:spacing w:line="276" w:lineRule="auto"/>
        <w:ind w:left="426"/>
      </w:pPr>
      <w:r w:rsidRPr="00CB2A3F">
        <w:t xml:space="preserve">The Victorian Government should introduce legislative amendments to increase the routine use of </w:t>
      </w:r>
      <w:r w:rsidRPr="00A17FA6">
        <w:t>Summons or Notice to Appear for minor offending.</w:t>
      </w:r>
    </w:p>
    <w:p w14:paraId="2AC82AD2" w14:textId="42B1B7EF" w:rsidR="00584413" w:rsidRDefault="00584413" w:rsidP="00E630C0">
      <w:pPr>
        <w:pStyle w:val="Heading3"/>
      </w:pPr>
      <w:bookmarkStart w:id="3566" w:name="_Toc40215826"/>
      <w:bookmarkStart w:id="3567" w:name="_Toc40215827"/>
      <w:bookmarkStart w:id="3568" w:name="_Toc40215828"/>
      <w:bookmarkStart w:id="3569" w:name="_Toc40215829"/>
      <w:bookmarkStart w:id="3570" w:name="_Toc40215830"/>
      <w:bookmarkStart w:id="3571" w:name="_Toc40215831"/>
      <w:bookmarkStart w:id="3572" w:name="_Toc40215832"/>
      <w:bookmarkStart w:id="3573" w:name="_Toc40215833"/>
      <w:bookmarkStart w:id="3574" w:name="_Toc40215834"/>
      <w:bookmarkStart w:id="3575" w:name="_Toc40215835"/>
      <w:bookmarkStart w:id="3576" w:name="_Toc40215836"/>
      <w:bookmarkStart w:id="3577" w:name="_Toc40124934"/>
      <w:bookmarkEnd w:id="3566"/>
      <w:bookmarkEnd w:id="3567"/>
      <w:bookmarkEnd w:id="3568"/>
      <w:bookmarkEnd w:id="3569"/>
      <w:bookmarkEnd w:id="3570"/>
      <w:bookmarkEnd w:id="3571"/>
      <w:bookmarkEnd w:id="3572"/>
      <w:bookmarkEnd w:id="3573"/>
      <w:bookmarkEnd w:id="3574"/>
      <w:bookmarkEnd w:id="3575"/>
      <w:bookmarkEnd w:id="3576"/>
      <w:r>
        <w:t xml:space="preserve">The use of bail to respond to </w:t>
      </w:r>
      <w:r w:rsidRPr="00363268">
        <w:t>minor</w:t>
      </w:r>
      <w:r>
        <w:t xml:space="preserve"> offending</w:t>
      </w:r>
      <w:bookmarkEnd w:id="3577"/>
    </w:p>
    <w:p w14:paraId="7073469C" w14:textId="584368B8" w:rsidR="00AC29CB" w:rsidRDefault="00AC29CB" w:rsidP="00AC29CB">
      <w:pPr>
        <w:rPr>
          <w:iCs/>
        </w:rPr>
      </w:pPr>
      <w:r w:rsidRPr="002F53CF">
        <w:t xml:space="preserve">In the </w:t>
      </w:r>
      <w:r w:rsidRPr="002F53CF">
        <w:rPr>
          <w:i/>
        </w:rPr>
        <w:t>Bail Act Review 2017</w:t>
      </w:r>
      <w:r>
        <w:rPr>
          <w:i/>
        </w:rPr>
        <w:t xml:space="preserve"> </w:t>
      </w:r>
      <w:r w:rsidR="00BB7A80">
        <w:rPr>
          <w:iCs/>
        </w:rPr>
        <w:t>(</w:t>
      </w:r>
      <w:r w:rsidRPr="004F7C7B">
        <w:rPr>
          <w:b/>
          <w:bCs/>
          <w:iCs/>
        </w:rPr>
        <w:t>Bail Review</w:t>
      </w:r>
      <w:r>
        <w:rPr>
          <w:iCs/>
        </w:rPr>
        <w:t>)</w:t>
      </w:r>
      <w:r w:rsidRPr="002F53CF">
        <w:rPr>
          <w:iCs/>
        </w:rPr>
        <w:t>, the Hon Paul Coghlan QC state</w:t>
      </w:r>
      <w:r>
        <w:rPr>
          <w:iCs/>
        </w:rPr>
        <w:t>d</w:t>
      </w:r>
      <w:r w:rsidRPr="002F53CF">
        <w:rPr>
          <w:iCs/>
        </w:rPr>
        <w:t xml:space="preserve">: </w:t>
      </w:r>
    </w:p>
    <w:p w14:paraId="1168D0FA" w14:textId="77777777" w:rsidR="00AC29CB" w:rsidRPr="00672376" w:rsidRDefault="00AC29CB" w:rsidP="004F7C7B">
      <w:pPr>
        <w:pStyle w:val="Quote"/>
        <w:rPr>
          <w:iCs/>
        </w:rPr>
      </w:pPr>
      <w:r w:rsidRPr="004F7C7B">
        <w:t>Bail is rarely an appropriate process in cases involving minor, non-violent offending. People charged with such offences normally pose a negligible risk to the safety of the community, and the appropriate sentence for such offending is usually a fine or a lower sanction such as an adjourned undertaking</w:t>
      </w:r>
      <w:r w:rsidRPr="00672376">
        <w:rPr>
          <w:iCs/>
        </w:rPr>
        <w:t>.</w:t>
      </w:r>
      <w:r w:rsidRPr="00672376">
        <w:rPr>
          <w:rStyle w:val="FootnoteReference"/>
          <w:iCs/>
        </w:rPr>
        <w:footnoteReference w:id="167"/>
      </w:r>
    </w:p>
    <w:p w14:paraId="2AB0CF8F" w14:textId="44521439" w:rsidR="00AC29CB" w:rsidRDefault="00AC29CB" w:rsidP="00AC29CB">
      <w:r>
        <w:t xml:space="preserve">Following </w:t>
      </w:r>
      <w:r w:rsidR="00BB7A80">
        <w:t>the</w:t>
      </w:r>
      <w:r>
        <w:t xml:space="preserve"> </w:t>
      </w:r>
      <w:r w:rsidR="002E08D5">
        <w:t xml:space="preserve">changes to the </w:t>
      </w:r>
      <w:r w:rsidR="00BB7A80">
        <w:t xml:space="preserve">Bail Act </w:t>
      </w:r>
      <w:r w:rsidR="002E08D5">
        <w:t>in 2018</w:t>
      </w:r>
      <w:r>
        <w:t>, VLA has seen a significant increase in our work with people on remand, including a 28 per cent increase in bail applications in a year.</w:t>
      </w:r>
      <w:r>
        <w:rPr>
          <w:rStyle w:val="FootnoteReference"/>
        </w:rPr>
        <w:footnoteReference w:id="168"/>
      </w:r>
      <w:r>
        <w:t xml:space="preserve"> </w:t>
      </w:r>
      <w:r>
        <w:rPr>
          <w:lang w:val="en-US"/>
        </w:rPr>
        <w:t xml:space="preserve">The experience of </w:t>
      </w:r>
      <w:r>
        <w:rPr>
          <w:lang w:val="en-US"/>
        </w:rPr>
        <w:lastRenderedPageBreak/>
        <w:t xml:space="preserve">our lawyers is that bail is routinely used for minor, non-violent, low-level offending, including possession or use of drugs and minor thefts. </w:t>
      </w:r>
      <w:r w:rsidR="00BB7A80">
        <w:rPr>
          <w:lang w:val="en-US"/>
        </w:rPr>
        <w:t xml:space="preserve">As a result, </w:t>
      </w:r>
      <w:r>
        <w:rPr>
          <w:lang w:val="en-US"/>
        </w:rPr>
        <w:t xml:space="preserve">people are </w:t>
      </w:r>
      <w:r w:rsidR="00BB7A80">
        <w:rPr>
          <w:lang w:val="en-US"/>
        </w:rPr>
        <w:t xml:space="preserve">increasingly </w:t>
      </w:r>
      <w:r>
        <w:rPr>
          <w:lang w:val="en-US"/>
        </w:rPr>
        <w:t xml:space="preserve">spending time in custody for </w:t>
      </w:r>
      <w:r w:rsidR="007A108A">
        <w:rPr>
          <w:lang w:val="en-US"/>
        </w:rPr>
        <w:t xml:space="preserve">relatively minor </w:t>
      </w:r>
      <w:r>
        <w:rPr>
          <w:lang w:val="en-US"/>
        </w:rPr>
        <w:t xml:space="preserve">offences </w:t>
      </w:r>
      <w:r w:rsidR="00AF7192">
        <w:rPr>
          <w:lang w:val="en-US"/>
        </w:rPr>
        <w:t>that would not usually attract a custodial sentence</w:t>
      </w:r>
      <w:r w:rsidR="002E08D5">
        <w:rPr>
          <w:lang w:val="en-US"/>
        </w:rPr>
        <w:t xml:space="preserve">. </w:t>
      </w:r>
      <w:r w:rsidR="00894749">
        <w:t>This was well summed up by one of our most experienced regional managers, who reflected that since the bail changes we are finding more and more people are in custody</w:t>
      </w:r>
      <w:r w:rsidR="00AF7192">
        <w:rPr>
          <w:lang w:val="en-US"/>
        </w:rPr>
        <w:t>,</w:t>
      </w:r>
      <w:r w:rsidR="00AF7192">
        <w:t xml:space="preserve"> </w:t>
      </w:r>
      <w:r w:rsidR="002C0248">
        <w:t>‘</w:t>
      </w:r>
      <w:r>
        <w:t>because of the issues in their lives rather than the seriousness of the offences committed</w:t>
      </w:r>
      <w:r w:rsidR="002C0248">
        <w:t>’</w:t>
      </w:r>
      <w:r>
        <w:t xml:space="preserve">. </w:t>
      </w:r>
    </w:p>
    <w:p w14:paraId="5C1775B1" w14:textId="77777777" w:rsidR="00AC29CB" w:rsidRDefault="00AC29CB" w:rsidP="00CB2A3F">
      <w:pPr>
        <w:keepNext/>
      </w:pPr>
      <w:r>
        <w:t>The changes we have seen include:</w:t>
      </w:r>
    </w:p>
    <w:p w14:paraId="0B0AF1DA" w14:textId="28B7DEC3" w:rsidR="00AC29CB" w:rsidRDefault="00AC29CB" w:rsidP="00904F90">
      <w:pPr>
        <w:pStyle w:val="Listbulletcoloured"/>
      </w:pPr>
      <w:r>
        <w:t>Significantly more people on remand who are not facing a term of imprisonment</w:t>
      </w:r>
      <w:r w:rsidR="006C4A73">
        <w:t>, particularly marginalised people including those experiencing mental health issues</w:t>
      </w:r>
      <w:r w:rsidR="008B44A2">
        <w:t>.</w:t>
      </w:r>
      <w:r>
        <w:rPr>
          <w:rStyle w:val="FootnoteReference"/>
        </w:rPr>
        <w:footnoteReference w:id="169"/>
      </w:r>
    </w:p>
    <w:p w14:paraId="3DECF6E9" w14:textId="30E994CA" w:rsidR="00AC29CB" w:rsidRDefault="00C253B9" w:rsidP="00904F90">
      <w:pPr>
        <w:pStyle w:val="Listbulletcoloured"/>
      </w:pPr>
      <w:r>
        <w:t xml:space="preserve">The escalating impact of the bail schedules propel people </w:t>
      </w:r>
      <w:r w:rsidR="00C470F5">
        <w:t xml:space="preserve">charged with low level offending </w:t>
      </w:r>
      <w:r>
        <w:t>in</w:t>
      </w:r>
      <w:r w:rsidR="00C470F5">
        <w:t>to</w:t>
      </w:r>
      <w:r>
        <w:t xml:space="preserve"> </w:t>
      </w:r>
      <w:r w:rsidR="00F249A5">
        <w:t>the</w:t>
      </w:r>
      <w:r w:rsidR="00AC29CB">
        <w:t xml:space="preserve"> reverse onus positions</w:t>
      </w:r>
      <w:r w:rsidR="00C470F5">
        <w:t xml:space="preserve"> which are usually reserved for serious offending</w:t>
      </w:r>
      <w:r w:rsidR="00FE11CB">
        <w:t>. This</w:t>
      </w:r>
      <w:r w:rsidR="00F249A5">
        <w:t xml:space="preserve"> </w:t>
      </w:r>
      <w:r w:rsidR="009B0188">
        <w:t>particularly affects</w:t>
      </w:r>
      <w:r w:rsidR="00F249A5">
        <w:t xml:space="preserve"> </w:t>
      </w:r>
      <w:r w:rsidR="00AC29CB">
        <w:t>people experiencing mental health issues</w:t>
      </w:r>
      <w:r w:rsidR="00F249A5">
        <w:t xml:space="preserve"> </w:t>
      </w:r>
      <w:r w:rsidR="00AC29CB">
        <w:t>who may have difficulty complying with bail condition</w:t>
      </w:r>
      <w:r w:rsidR="00F249A5">
        <w:t>s</w:t>
      </w:r>
      <w:r w:rsidR="008B44A2">
        <w:t>.</w:t>
      </w:r>
      <w:r w:rsidR="00AC29CB">
        <w:t xml:space="preserve"> </w:t>
      </w:r>
    </w:p>
    <w:p w14:paraId="46C923C2" w14:textId="497C0E0D" w:rsidR="00AC29CB" w:rsidRDefault="00AF0A66" w:rsidP="00904F90">
      <w:pPr>
        <w:pStyle w:val="Listbulletcoloured"/>
      </w:pPr>
      <w:r>
        <w:t>The d</w:t>
      </w:r>
      <w:r w:rsidR="00F249A5">
        <w:t xml:space="preserve">etrimental impacts of </w:t>
      </w:r>
      <w:r w:rsidR="00C470F5">
        <w:t>short</w:t>
      </w:r>
      <w:r w:rsidR="00F249A5">
        <w:t xml:space="preserve"> periods on remand for people experiencing mental health issues, </w:t>
      </w:r>
      <w:r w:rsidR="00760893">
        <w:t xml:space="preserve">which </w:t>
      </w:r>
      <w:r w:rsidR="00AC29CB" w:rsidRPr="001E35AB">
        <w:t xml:space="preserve">disrupt continuity of mental health treatment, disability supports, training and employment opportunities, family relationships, and </w:t>
      </w:r>
      <w:bookmarkStart w:id="3578" w:name="_Ref40186963"/>
      <w:r w:rsidR="00760893">
        <w:t>increas</w:t>
      </w:r>
      <w:r w:rsidR="007D6BFD">
        <w:t>ing</w:t>
      </w:r>
      <w:r w:rsidR="00760893">
        <w:t xml:space="preserve"> the likelihood of reoffending</w:t>
      </w:r>
      <w:r w:rsidR="008B44A2">
        <w:t>.</w:t>
      </w:r>
      <w:r w:rsidR="00AC29CB" w:rsidRPr="00F207E3">
        <w:rPr>
          <w:rStyle w:val="FootnoteReference"/>
          <w:rFonts w:eastAsia="Arial"/>
          <w:szCs w:val="20"/>
        </w:rPr>
        <w:footnoteReference w:id="170"/>
      </w:r>
      <w:bookmarkEnd w:id="3578"/>
      <w:r w:rsidR="00F249A5">
        <w:t xml:space="preserve"> </w:t>
      </w:r>
      <w:r w:rsidR="00AC29CB">
        <w:t xml:space="preserve">  </w:t>
      </w:r>
    </w:p>
    <w:p w14:paraId="2D6D9E86" w14:textId="31B8DD90" w:rsidR="00AC29CB" w:rsidRDefault="00F249A5" w:rsidP="00904F90">
      <w:pPr>
        <w:pStyle w:val="Listbulletcoloured"/>
      </w:pPr>
      <w:r>
        <w:t>More serious</w:t>
      </w:r>
      <w:r w:rsidR="00AC29CB">
        <w:t xml:space="preserve"> sentencing outcomes </w:t>
      </w:r>
      <w:r>
        <w:t>as</w:t>
      </w:r>
      <w:r w:rsidR="00AC29CB">
        <w:t xml:space="preserve"> time spent on remand increases the likelihood </w:t>
      </w:r>
      <w:r>
        <w:t>of</w:t>
      </w:r>
      <w:r w:rsidR="00AC29CB">
        <w:t xml:space="preserve"> a sentence of imprisonment</w:t>
      </w:r>
      <w:bookmarkStart w:id="3579" w:name="_Ref40186958"/>
      <w:r w:rsidR="00AC29CB" w:rsidRPr="00F207E3">
        <w:rPr>
          <w:rStyle w:val="FootnoteReference"/>
          <w:rFonts w:eastAsia="Arial"/>
          <w:szCs w:val="20"/>
        </w:rPr>
        <w:footnoteReference w:id="171"/>
      </w:r>
      <w:bookmarkEnd w:id="3579"/>
      <w:r w:rsidR="00AC29CB">
        <w:t xml:space="preserve"> remand rates increase the risk of accused persons pleading guilty to offences where the evidence may not have sustained a finding of guilt</w:t>
      </w:r>
      <w:r w:rsidR="007D6BFD">
        <w:t>, because this is the fastest way to be released from custody</w:t>
      </w:r>
      <w:r w:rsidR="00AC29CB">
        <w:t>.</w:t>
      </w:r>
      <w:r w:rsidR="00AC29CB" w:rsidRPr="00F207E3">
        <w:rPr>
          <w:rStyle w:val="FootnoteReference"/>
          <w:rFonts w:eastAsia="Arial"/>
          <w:szCs w:val="20"/>
        </w:rPr>
        <w:footnoteReference w:id="172"/>
      </w:r>
      <w:r w:rsidR="00AC29CB">
        <w:t xml:space="preserve">  </w:t>
      </w:r>
    </w:p>
    <w:p w14:paraId="233E8AC7" w14:textId="1BDEBAD5" w:rsidR="00753C07" w:rsidRDefault="00AC29CB" w:rsidP="00753C07">
      <w:r>
        <w:t xml:space="preserve">The </w:t>
      </w:r>
      <w:r w:rsidRPr="003E3C0C">
        <w:rPr>
          <w:rFonts w:cs="Arial"/>
          <w:szCs w:val="16"/>
          <w:lang w:val="en-US"/>
        </w:rPr>
        <w:t>Sentencing Advisory Council</w:t>
      </w:r>
      <w:r w:rsidRPr="0002256C">
        <w:t xml:space="preserve"> </w:t>
      </w:r>
      <w:r>
        <w:t>(</w:t>
      </w:r>
      <w:r w:rsidRPr="004F7C7B">
        <w:rPr>
          <w:b/>
          <w:bCs/>
        </w:rPr>
        <w:t>SAC</w:t>
      </w:r>
      <w:r>
        <w:t>)</w:t>
      </w:r>
      <w:r w:rsidRPr="0002256C">
        <w:t xml:space="preserve"> </w:t>
      </w:r>
      <w:r>
        <w:t xml:space="preserve">has reported </w:t>
      </w:r>
      <w:r w:rsidRPr="0002256C">
        <w:t>that the increase in bail-related secondary offences represent a growing proportion of all charges sentenced in Victoria</w:t>
      </w:r>
      <w:r>
        <w:t>,</w:t>
      </w:r>
      <w:r>
        <w:rPr>
          <w:rStyle w:val="FootnoteReference"/>
        </w:rPr>
        <w:footnoteReference w:id="173"/>
      </w:r>
      <w:r w:rsidRPr="0002256C">
        <w:t xml:space="preserve"> </w:t>
      </w:r>
      <w:r>
        <w:t xml:space="preserve">and that </w:t>
      </w:r>
      <w:r w:rsidRPr="0002256C">
        <w:t xml:space="preserve">that </w:t>
      </w:r>
      <w:r w:rsidR="002C0248">
        <w:t>‘</w:t>
      </w:r>
      <w:r w:rsidRPr="0002256C">
        <w:t>these offences have increased the burden on police, prosecutors, defence lawyers, correctional staff, courts and court administrative staff.</w:t>
      </w:r>
      <w:r w:rsidR="002C0248">
        <w:t>’</w:t>
      </w:r>
      <w:r w:rsidRPr="0002256C">
        <w:rPr>
          <w:rStyle w:val="FootnoteReference"/>
        </w:rPr>
        <w:footnoteReference w:id="174"/>
      </w:r>
      <w:r w:rsidRPr="0002256C">
        <w:t xml:space="preserve"> The Victorian Law Reform Commission recommended against a bail-related secondary offence in its </w:t>
      </w:r>
      <w:r w:rsidRPr="0002256C">
        <w:rPr>
          <w:i/>
          <w:iCs/>
        </w:rPr>
        <w:t>Review of the Bail Act</w:t>
      </w:r>
      <w:r>
        <w:t xml:space="preserve">, noting </w:t>
      </w:r>
      <w:r w:rsidRPr="0002256C">
        <w:t xml:space="preserve">that </w:t>
      </w:r>
      <w:r>
        <w:t xml:space="preserve">this </w:t>
      </w:r>
      <w:r w:rsidRPr="0002256C">
        <w:t xml:space="preserve">might have a </w:t>
      </w:r>
      <w:r w:rsidRPr="0002256C">
        <w:lastRenderedPageBreak/>
        <w:t>disproportionate effect on vulnerable persons.</w:t>
      </w:r>
      <w:r w:rsidRPr="0002256C">
        <w:rPr>
          <w:rStyle w:val="Superscript"/>
        </w:rPr>
        <w:footnoteReference w:id="175"/>
      </w:r>
      <w:r>
        <w:t xml:space="preserve"> Other jurisdictions do not have offences of breach of bail conditions.</w:t>
      </w:r>
      <w:r>
        <w:rPr>
          <w:rStyle w:val="FootnoteReference"/>
        </w:rPr>
        <w:footnoteReference w:id="176"/>
      </w:r>
      <w:r>
        <w:t xml:space="preserve"> </w:t>
      </w:r>
    </w:p>
    <w:p w14:paraId="4F511B78" w14:textId="56919B4D" w:rsidR="00AC29CB" w:rsidRDefault="00244EE9" w:rsidP="00AC29CB">
      <w:r>
        <w:t>These unintended consequences</w:t>
      </w:r>
      <w:r w:rsidR="00EC4241">
        <w:t xml:space="preserve"> </w:t>
      </w:r>
      <w:r w:rsidR="00753C07">
        <w:t xml:space="preserve">of </w:t>
      </w:r>
      <w:r w:rsidR="002C0248">
        <w:t>b</w:t>
      </w:r>
      <w:r>
        <w:t xml:space="preserve">ail </w:t>
      </w:r>
      <w:r w:rsidR="00753C07">
        <w:t xml:space="preserve">reforms </w:t>
      </w:r>
      <w:r>
        <w:t>can</w:t>
      </w:r>
      <w:r w:rsidR="00753C07">
        <w:t xml:space="preserve"> be addres</w:t>
      </w:r>
      <w:r w:rsidR="00753C07">
        <w:rPr>
          <w:szCs w:val="28"/>
        </w:rPr>
        <w:t>sed</w:t>
      </w:r>
      <w:r w:rsidR="00753C07">
        <w:t xml:space="preserve"> without a wholesale revisiting of bail laws. Changes to the Bail Act </w:t>
      </w:r>
      <w:r w:rsidR="009B6DE1">
        <w:t xml:space="preserve">schedules </w:t>
      </w:r>
      <w:r w:rsidR="00753C07">
        <w:t xml:space="preserve">would mitigate the escalating impacts of the reverse onus tests. </w:t>
      </w:r>
      <w:r w:rsidR="00EC4241">
        <w:rPr>
          <w:lang w:eastAsia="en-AU"/>
        </w:rPr>
        <w:t>T</w:t>
      </w:r>
      <w:r w:rsidR="00753C07">
        <w:rPr>
          <w:lang w:eastAsia="en-AU"/>
        </w:rPr>
        <w:t>he</w:t>
      </w:r>
      <w:r w:rsidR="00753C07" w:rsidDel="00625DDC">
        <w:rPr>
          <w:lang w:eastAsia="en-AU"/>
        </w:rPr>
        <w:t xml:space="preserve"> </w:t>
      </w:r>
      <w:r w:rsidR="00EC4241">
        <w:rPr>
          <w:lang w:eastAsia="en-AU"/>
        </w:rPr>
        <w:t xml:space="preserve">offence of </w:t>
      </w:r>
      <w:r w:rsidR="00753C07" w:rsidRPr="00B41AE5">
        <w:rPr>
          <w:iCs/>
        </w:rPr>
        <w:t>breach</w:t>
      </w:r>
      <w:r w:rsidR="00753C07">
        <w:rPr>
          <w:iCs/>
        </w:rPr>
        <w:t>ing</w:t>
      </w:r>
      <w:r w:rsidR="00753C07" w:rsidRPr="00B41AE5">
        <w:rPr>
          <w:iCs/>
        </w:rPr>
        <w:t xml:space="preserve"> </w:t>
      </w:r>
      <w:r w:rsidR="00753C07" w:rsidRPr="00B41AE5">
        <w:rPr>
          <w:iCs/>
          <w:lang w:eastAsia="en-AU"/>
        </w:rPr>
        <w:t xml:space="preserve">a </w:t>
      </w:r>
      <w:r w:rsidR="00753C07">
        <w:rPr>
          <w:iCs/>
          <w:lang w:eastAsia="en-AU"/>
        </w:rPr>
        <w:t>condition</w:t>
      </w:r>
      <w:r w:rsidR="00753C07">
        <w:rPr>
          <w:lang w:eastAsia="en-AU"/>
        </w:rPr>
        <w:t xml:space="preserve"> </w:t>
      </w:r>
      <w:r w:rsidR="00EC4241">
        <w:rPr>
          <w:lang w:eastAsia="en-AU"/>
        </w:rPr>
        <w:t xml:space="preserve">of bail </w:t>
      </w:r>
      <w:r>
        <w:rPr>
          <w:lang w:eastAsia="en-AU"/>
        </w:rPr>
        <w:t>should</w:t>
      </w:r>
      <w:r w:rsidR="00EC4241">
        <w:rPr>
          <w:lang w:eastAsia="en-AU"/>
        </w:rPr>
        <w:t xml:space="preserve"> be reviewed </w:t>
      </w:r>
      <w:r w:rsidR="00625DDC">
        <w:rPr>
          <w:lang w:eastAsia="en-AU"/>
        </w:rPr>
        <w:t xml:space="preserve">for effectiveness </w:t>
      </w:r>
      <w:r w:rsidR="00753C07">
        <w:rPr>
          <w:lang w:eastAsia="en-AU"/>
        </w:rPr>
        <w:t>compared with its impact on vulnerable people such as those experiencing mental health issues</w:t>
      </w:r>
      <w:r w:rsidR="00EC4241">
        <w:t>.</w:t>
      </w:r>
    </w:p>
    <w:p w14:paraId="5A841589" w14:textId="2AFFAF4B" w:rsidR="00BB7A80" w:rsidRPr="001028B6" w:rsidRDefault="00695065" w:rsidP="00DB4E17">
      <w:pPr>
        <w:shd w:val="clear" w:color="auto" w:fill="DEEAF6" w:themeFill="accent5" w:themeFillTint="33"/>
        <w:spacing w:before="240"/>
        <w:ind w:left="426"/>
      </w:pPr>
      <w:bookmarkStart w:id="3580" w:name="_Toc40355782"/>
      <w:bookmarkStart w:id="3581" w:name="_Toc41325430"/>
      <w:bookmarkStart w:id="3582" w:name="_Toc41332839"/>
      <w:bookmarkStart w:id="3583" w:name="_Toc41412017"/>
      <w:r w:rsidRPr="00B9060C">
        <w:rPr>
          <w:b/>
          <w:bCs/>
        </w:rPr>
        <w:t xml:space="preserve">Recommendation </w:t>
      </w:r>
      <w:r>
        <w:rPr>
          <w:b/>
          <w:bCs/>
        </w:rPr>
        <w:t>48:</w:t>
      </w:r>
      <w:r w:rsidR="000833C6">
        <w:rPr>
          <w:b/>
          <w:bCs/>
        </w:rPr>
        <w:t xml:space="preserve"> </w:t>
      </w:r>
      <w:r w:rsidR="007B64F8" w:rsidRPr="00695065">
        <w:rPr>
          <w:b/>
          <w:bCs/>
        </w:rPr>
        <w:t>Reduce i</w:t>
      </w:r>
      <w:r w:rsidR="003D76D3" w:rsidRPr="00695065">
        <w:rPr>
          <w:b/>
          <w:bCs/>
        </w:rPr>
        <w:t>mpact of bail reforms on people with mental health issues</w:t>
      </w:r>
      <w:bookmarkEnd w:id="3580"/>
      <w:bookmarkEnd w:id="3581"/>
      <w:bookmarkEnd w:id="3582"/>
      <w:bookmarkEnd w:id="3583"/>
    </w:p>
    <w:p w14:paraId="55F66336" w14:textId="79CD5A7E" w:rsidR="00AC29CB" w:rsidRPr="00CB2A3F" w:rsidRDefault="00AC29CB" w:rsidP="00CB2A3F">
      <w:pPr>
        <w:shd w:val="clear" w:color="auto" w:fill="DEEAF6" w:themeFill="accent5" w:themeFillTint="33"/>
        <w:ind w:left="426"/>
      </w:pPr>
      <w:r w:rsidRPr="00CB2A3F">
        <w:t xml:space="preserve">The </w:t>
      </w:r>
      <w:r w:rsidR="00BB7A80" w:rsidRPr="00CB2A3F">
        <w:t>Victorian Government</w:t>
      </w:r>
      <w:r w:rsidRPr="00CB2A3F">
        <w:t xml:space="preserve"> should make minor amendments to the Bail Act 1977 (Vic) to avoid people charged with minor offending being held on remand</w:t>
      </w:r>
      <w:r w:rsidR="00E76E43" w:rsidRPr="00CB2A3F">
        <w:t>:</w:t>
      </w:r>
      <w:r w:rsidRPr="00CB2A3F">
        <w:t xml:space="preserve"> </w:t>
      </w:r>
    </w:p>
    <w:p w14:paraId="61766C54" w14:textId="01FEF6F8" w:rsidR="00695065" w:rsidRPr="00695065" w:rsidRDefault="009A4FF6" w:rsidP="00984FB7">
      <w:pPr>
        <w:pStyle w:val="ListParagraph"/>
        <w:numPr>
          <w:ilvl w:val="0"/>
          <w:numId w:val="20"/>
        </w:numPr>
        <w:shd w:val="clear" w:color="auto" w:fill="DEEAF6" w:themeFill="accent5" w:themeFillTint="33"/>
        <w:ind w:left="851" w:hanging="425"/>
      </w:pPr>
      <w:r w:rsidRPr="00695065">
        <w:t>o</w:t>
      </w:r>
      <w:r w:rsidR="00194FC7" w:rsidRPr="00695065">
        <w:t xml:space="preserve">ffences against the Bail Act </w:t>
      </w:r>
      <w:r w:rsidR="00B91F1E" w:rsidRPr="00695065">
        <w:t xml:space="preserve">and </w:t>
      </w:r>
      <w:r w:rsidR="008B44A2" w:rsidRPr="00695065">
        <w:t>c</w:t>
      </w:r>
      <w:r w:rsidR="00B91F1E" w:rsidRPr="00695065">
        <w:t>ommitting an indictable offence while on conditional liberty sh</w:t>
      </w:r>
      <w:r w:rsidR="00194FC7" w:rsidRPr="00695065">
        <w:t>ould be removed from Schedule 2</w:t>
      </w:r>
      <w:r w:rsidR="00B91F1E" w:rsidRPr="00695065">
        <w:t xml:space="preserve"> of the Bail Act</w:t>
      </w:r>
      <w:r w:rsidR="00194FC7" w:rsidRPr="00695065">
        <w:t xml:space="preserve">; </w:t>
      </w:r>
    </w:p>
    <w:p w14:paraId="6612B572" w14:textId="2D55374D" w:rsidR="00695065" w:rsidRPr="00695065" w:rsidRDefault="00194FC7" w:rsidP="00984FB7">
      <w:pPr>
        <w:pStyle w:val="ListParagraph"/>
        <w:numPr>
          <w:ilvl w:val="0"/>
          <w:numId w:val="20"/>
        </w:numPr>
        <w:shd w:val="clear" w:color="auto" w:fill="DEEAF6" w:themeFill="accent5" w:themeFillTint="33"/>
        <w:ind w:left="851" w:hanging="425"/>
      </w:pPr>
      <w:r w:rsidRPr="00695065">
        <w:t xml:space="preserve">the Bail Act </w:t>
      </w:r>
      <w:r w:rsidR="000E00FA" w:rsidRPr="00695065">
        <w:t>sh</w:t>
      </w:r>
      <w:r w:rsidRPr="00695065">
        <w:t xml:space="preserve">ould state that a person should not be remanded for an offence which is unlikely to result in a sentence of imprisonment; </w:t>
      </w:r>
    </w:p>
    <w:p w14:paraId="179E4780" w14:textId="39374916" w:rsidR="00695065" w:rsidRPr="00695065" w:rsidRDefault="009A4FF6" w:rsidP="00984FB7">
      <w:pPr>
        <w:pStyle w:val="ListParagraph"/>
        <w:numPr>
          <w:ilvl w:val="0"/>
          <w:numId w:val="20"/>
        </w:numPr>
        <w:shd w:val="clear" w:color="auto" w:fill="DEEAF6" w:themeFill="accent5" w:themeFillTint="33"/>
        <w:ind w:left="851" w:hanging="425"/>
      </w:pPr>
      <w:r w:rsidRPr="00695065">
        <w:t>c</w:t>
      </w:r>
      <w:r w:rsidR="000E00FA" w:rsidRPr="00695065">
        <w:t xml:space="preserve">hildren should be exempt from the reverse onus tests in the Bail Act, to ensure that detention of children is only used a last resort rather than because of the Bail Act categories; </w:t>
      </w:r>
    </w:p>
    <w:p w14:paraId="0A4F1AB1" w14:textId="2674DA0B" w:rsidR="00194FC7" w:rsidRPr="00695065" w:rsidRDefault="00194FC7" w:rsidP="00984FB7">
      <w:pPr>
        <w:pStyle w:val="ListParagraph"/>
        <w:numPr>
          <w:ilvl w:val="0"/>
          <w:numId w:val="20"/>
        </w:numPr>
        <w:shd w:val="clear" w:color="auto" w:fill="DEEAF6" w:themeFill="accent5" w:themeFillTint="33"/>
        <w:ind w:left="851" w:hanging="425"/>
      </w:pPr>
      <w:r w:rsidRPr="00695065">
        <w:t xml:space="preserve">the offence of breaching a condition of bail could be removed </w:t>
      </w:r>
      <w:r w:rsidR="000E00FA" w:rsidRPr="00695065">
        <w:t xml:space="preserve">from the Bail Act </w:t>
      </w:r>
      <w:r w:rsidR="00D138B4" w:rsidRPr="00695065">
        <w:t>to address their disproportionate impact on people who have difficulty complying with conditions, such as people experiencing mental health issues;</w:t>
      </w:r>
      <w:r w:rsidR="00256D85" w:rsidRPr="00695065">
        <w:t xml:space="preserve"> </w:t>
      </w:r>
      <w:r w:rsidR="00D138B4" w:rsidRPr="00695065">
        <w:t>and</w:t>
      </w:r>
      <w:r w:rsidR="000E00FA" w:rsidRPr="00695065">
        <w:t xml:space="preserve"> </w:t>
      </w:r>
      <w:r w:rsidR="00256D85" w:rsidRPr="00695065">
        <w:t>t</w:t>
      </w:r>
      <w:r w:rsidRPr="00695065">
        <w:t xml:space="preserve">he consequences of breaching </w:t>
      </w:r>
      <w:r w:rsidR="000E00FA" w:rsidRPr="00695065">
        <w:t xml:space="preserve">bail </w:t>
      </w:r>
      <w:r w:rsidRPr="00695065">
        <w:t xml:space="preserve">would </w:t>
      </w:r>
      <w:r w:rsidR="00256D85" w:rsidRPr="00695065">
        <w:t xml:space="preserve">then </w:t>
      </w:r>
      <w:r w:rsidRPr="00695065">
        <w:t>be reconsideration of the conditions or revocation</w:t>
      </w:r>
      <w:r w:rsidR="000E00FA" w:rsidRPr="00695065">
        <w:t xml:space="preserve"> of the bail.</w:t>
      </w:r>
    </w:p>
    <w:p w14:paraId="4ED14052" w14:textId="35EC163D" w:rsidR="00584413" w:rsidRDefault="00584413">
      <w:pPr>
        <w:pStyle w:val="Heading2"/>
      </w:pPr>
      <w:bookmarkStart w:id="3584" w:name="_Toc40215838"/>
      <w:bookmarkStart w:id="3585" w:name="_Toc40216490"/>
      <w:bookmarkStart w:id="3586" w:name="_Toc40217107"/>
      <w:bookmarkStart w:id="3587" w:name="_Toc40217729"/>
      <w:bookmarkStart w:id="3588" w:name="_Toc40218350"/>
      <w:bookmarkStart w:id="3589" w:name="_Toc40246209"/>
      <w:bookmarkStart w:id="3590" w:name="_Toc40246865"/>
      <w:bookmarkStart w:id="3591" w:name="_Toc40247779"/>
      <w:bookmarkStart w:id="3592" w:name="_Toc40248305"/>
      <w:bookmarkStart w:id="3593" w:name="_Toc40248832"/>
      <w:bookmarkStart w:id="3594" w:name="_Toc40249952"/>
      <w:bookmarkStart w:id="3595" w:name="_Toc40251720"/>
      <w:bookmarkStart w:id="3596" w:name="_Toc40256830"/>
      <w:bookmarkStart w:id="3597" w:name="_Toc40215839"/>
      <w:bookmarkStart w:id="3598" w:name="_Toc40216491"/>
      <w:bookmarkStart w:id="3599" w:name="_Toc40217108"/>
      <w:bookmarkStart w:id="3600" w:name="_Toc40217730"/>
      <w:bookmarkStart w:id="3601" w:name="_Toc40218351"/>
      <w:bookmarkStart w:id="3602" w:name="_Toc40246210"/>
      <w:bookmarkStart w:id="3603" w:name="_Toc40246866"/>
      <w:bookmarkStart w:id="3604" w:name="_Toc40247780"/>
      <w:bookmarkStart w:id="3605" w:name="_Toc40248306"/>
      <w:bookmarkStart w:id="3606" w:name="_Toc40248833"/>
      <w:bookmarkStart w:id="3607" w:name="_Toc40249953"/>
      <w:bookmarkStart w:id="3608" w:name="_Toc40251721"/>
      <w:bookmarkStart w:id="3609" w:name="_Toc40256831"/>
      <w:bookmarkStart w:id="3610" w:name="_Toc40215840"/>
      <w:bookmarkStart w:id="3611" w:name="_Toc40216492"/>
      <w:bookmarkStart w:id="3612" w:name="_Toc40217109"/>
      <w:bookmarkStart w:id="3613" w:name="_Toc40217731"/>
      <w:bookmarkStart w:id="3614" w:name="_Toc40218352"/>
      <w:bookmarkStart w:id="3615" w:name="_Toc40246211"/>
      <w:bookmarkStart w:id="3616" w:name="_Toc40246867"/>
      <w:bookmarkStart w:id="3617" w:name="_Toc40247781"/>
      <w:bookmarkStart w:id="3618" w:name="_Toc40248307"/>
      <w:bookmarkStart w:id="3619" w:name="_Toc40248834"/>
      <w:bookmarkStart w:id="3620" w:name="_Toc40249954"/>
      <w:bookmarkStart w:id="3621" w:name="_Toc40251722"/>
      <w:bookmarkStart w:id="3622" w:name="_Toc40256832"/>
      <w:bookmarkStart w:id="3623" w:name="_Toc40215841"/>
      <w:bookmarkStart w:id="3624" w:name="_Toc40216493"/>
      <w:bookmarkStart w:id="3625" w:name="_Toc40217110"/>
      <w:bookmarkStart w:id="3626" w:name="_Toc40217732"/>
      <w:bookmarkStart w:id="3627" w:name="_Toc40218353"/>
      <w:bookmarkStart w:id="3628" w:name="_Toc40246212"/>
      <w:bookmarkStart w:id="3629" w:name="_Toc40246868"/>
      <w:bookmarkStart w:id="3630" w:name="_Toc40247782"/>
      <w:bookmarkStart w:id="3631" w:name="_Toc40248308"/>
      <w:bookmarkStart w:id="3632" w:name="_Toc40248835"/>
      <w:bookmarkStart w:id="3633" w:name="_Toc40249955"/>
      <w:bookmarkStart w:id="3634" w:name="_Toc40251723"/>
      <w:bookmarkStart w:id="3635" w:name="_Toc40256833"/>
      <w:bookmarkStart w:id="3636" w:name="_Toc40215842"/>
      <w:bookmarkStart w:id="3637" w:name="_Toc40216494"/>
      <w:bookmarkStart w:id="3638" w:name="_Toc40217111"/>
      <w:bookmarkStart w:id="3639" w:name="_Toc40217733"/>
      <w:bookmarkStart w:id="3640" w:name="_Toc40218354"/>
      <w:bookmarkStart w:id="3641" w:name="_Toc40246213"/>
      <w:bookmarkStart w:id="3642" w:name="_Toc40246869"/>
      <w:bookmarkStart w:id="3643" w:name="_Toc40247783"/>
      <w:bookmarkStart w:id="3644" w:name="_Toc40248309"/>
      <w:bookmarkStart w:id="3645" w:name="_Toc40248836"/>
      <w:bookmarkStart w:id="3646" w:name="_Toc40249956"/>
      <w:bookmarkStart w:id="3647" w:name="_Toc40251724"/>
      <w:bookmarkStart w:id="3648" w:name="_Toc40256834"/>
      <w:bookmarkStart w:id="3649" w:name="_Toc40215843"/>
      <w:bookmarkStart w:id="3650" w:name="_Toc40216495"/>
      <w:bookmarkStart w:id="3651" w:name="_Toc40217112"/>
      <w:bookmarkStart w:id="3652" w:name="_Toc40217734"/>
      <w:bookmarkStart w:id="3653" w:name="_Toc40218355"/>
      <w:bookmarkStart w:id="3654" w:name="_Toc40246214"/>
      <w:bookmarkStart w:id="3655" w:name="_Toc40246870"/>
      <w:bookmarkStart w:id="3656" w:name="_Toc40247784"/>
      <w:bookmarkStart w:id="3657" w:name="_Toc40248310"/>
      <w:bookmarkStart w:id="3658" w:name="_Toc40248837"/>
      <w:bookmarkStart w:id="3659" w:name="_Toc40249957"/>
      <w:bookmarkStart w:id="3660" w:name="_Toc40251725"/>
      <w:bookmarkStart w:id="3661" w:name="_Toc40256835"/>
      <w:bookmarkStart w:id="3662" w:name="_Toc40215844"/>
      <w:bookmarkStart w:id="3663" w:name="_Toc40216496"/>
      <w:bookmarkStart w:id="3664" w:name="_Toc40217113"/>
      <w:bookmarkStart w:id="3665" w:name="_Toc40217735"/>
      <w:bookmarkStart w:id="3666" w:name="_Toc40218356"/>
      <w:bookmarkStart w:id="3667" w:name="_Toc40246215"/>
      <w:bookmarkStart w:id="3668" w:name="_Toc40246871"/>
      <w:bookmarkStart w:id="3669" w:name="_Toc40247785"/>
      <w:bookmarkStart w:id="3670" w:name="_Toc40248311"/>
      <w:bookmarkStart w:id="3671" w:name="_Toc40248838"/>
      <w:bookmarkStart w:id="3672" w:name="_Toc40249958"/>
      <w:bookmarkStart w:id="3673" w:name="_Toc40251726"/>
      <w:bookmarkStart w:id="3674" w:name="_Toc40256836"/>
      <w:bookmarkStart w:id="3675" w:name="_Toc40215845"/>
      <w:bookmarkStart w:id="3676" w:name="_Toc40216497"/>
      <w:bookmarkStart w:id="3677" w:name="_Toc40217114"/>
      <w:bookmarkStart w:id="3678" w:name="_Toc40217736"/>
      <w:bookmarkStart w:id="3679" w:name="_Toc40218357"/>
      <w:bookmarkStart w:id="3680" w:name="_Toc40246216"/>
      <w:bookmarkStart w:id="3681" w:name="_Toc40246872"/>
      <w:bookmarkStart w:id="3682" w:name="_Toc40247786"/>
      <w:bookmarkStart w:id="3683" w:name="_Toc40248312"/>
      <w:bookmarkStart w:id="3684" w:name="_Toc40248839"/>
      <w:bookmarkStart w:id="3685" w:name="_Toc40249959"/>
      <w:bookmarkStart w:id="3686" w:name="_Toc40251727"/>
      <w:bookmarkStart w:id="3687" w:name="_Toc40256837"/>
      <w:bookmarkStart w:id="3688" w:name="_Toc40215846"/>
      <w:bookmarkStart w:id="3689" w:name="_Toc40216498"/>
      <w:bookmarkStart w:id="3690" w:name="_Toc40217115"/>
      <w:bookmarkStart w:id="3691" w:name="_Toc40217737"/>
      <w:bookmarkStart w:id="3692" w:name="_Toc40218358"/>
      <w:bookmarkStart w:id="3693" w:name="_Toc40246217"/>
      <w:bookmarkStart w:id="3694" w:name="_Toc40246873"/>
      <w:bookmarkStart w:id="3695" w:name="_Toc40247787"/>
      <w:bookmarkStart w:id="3696" w:name="_Toc40248313"/>
      <w:bookmarkStart w:id="3697" w:name="_Toc40248840"/>
      <w:bookmarkStart w:id="3698" w:name="_Toc40249960"/>
      <w:bookmarkStart w:id="3699" w:name="_Toc40251728"/>
      <w:bookmarkStart w:id="3700" w:name="_Toc40256838"/>
      <w:bookmarkStart w:id="3701" w:name="_Toc40215847"/>
      <w:bookmarkStart w:id="3702" w:name="_Toc40216499"/>
      <w:bookmarkStart w:id="3703" w:name="_Toc40217116"/>
      <w:bookmarkStart w:id="3704" w:name="_Toc40217738"/>
      <w:bookmarkStart w:id="3705" w:name="_Toc40218359"/>
      <w:bookmarkStart w:id="3706" w:name="_Toc40246218"/>
      <w:bookmarkStart w:id="3707" w:name="_Toc40246874"/>
      <w:bookmarkStart w:id="3708" w:name="_Toc40247788"/>
      <w:bookmarkStart w:id="3709" w:name="_Toc40248314"/>
      <w:bookmarkStart w:id="3710" w:name="_Toc40248841"/>
      <w:bookmarkStart w:id="3711" w:name="_Toc40249961"/>
      <w:bookmarkStart w:id="3712" w:name="_Toc40251729"/>
      <w:bookmarkStart w:id="3713" w:name="_Toc40256839"/>
      <w:bookmarkStart w:id="3714" w:name="_Toc40215848"/>
      <w:bookmarkStart w:id="3715" w:name="_Toc40216500"/>
      <w:bookmarkStart w:id="3716" w:name="_Toc40217117"/>
      <w:bookmarkStart w:id="3717" w:name="_Toc40217739"/>
      <w:bookmarkStart w:id="3718" w:name="_Toc40218360"/>
      <w:bookmarkStart w:id="3719" w:name="_Toc40246219"/>
      <w:bookmarkStart w:id="3720" w:name="_Toc40246875"/>
      <w:bookmarkStart w:id="3721" w:name="_Toc40247789"/>
      <w:bookmarkStart w:id="3722" w:name="_Toc40248315"/>
      <w:bookmarkStart w:id="3723" w:name="_Toc40248842"/>
      <w:bookmarkStart w:id="3724" w:name="_Toc40249962"/>
      <w:bookmarkStart w:id="3725" w:name="_Toc40251730"/>
      <w:bookmarkStart w:id="3726" w:name="_Toc40256840"/>
      <w:bookmarkStart w:id="3727" w:name="_Toc40215849"/>
      <w:bookmarkStart w:id="3728" w:name="_Toc40216501"/>
      <w:bookmarkStart w:id="3729" w:name="_Toc40217118"/>
      <w:bookmarkStart w:id="3730" w:name="_Toc40217740"/>
      <w:bookmarkStart w:id="3731" w:name="_Toc40218361"/>
      <w:bookmarkStart w:id="3732" w:name="_Toc40246220"/>
      <w:bookmarkStart w:id="3733" w:name="_Toc40246876"/>
      <w:bookmarkStart w:id="3734" w:name="_Toc40247790"/>
      <w:bookmarkStart w:id="3735" w:name="_Toc40248316"/>
      <w:bookmarkStart w:id="3736" w:name="_Toc40248843"/>
      <w:bookmarkStart w:id="3737" w:name="_Toc40249963"/>
      <w:bookmarkStart w:id="3738" w:name="_Toc40251731"/>
      <w:bookmarkStart w:id="3739" w:name="_Toc40256841"/>
      <w:bookmarkStart w:id="3740" w:name="_Toc40215850"/>
      <w:bookmarkStart w:id="3741" w:name="_Toc40216502"/>
      <w:bookmarkStart w:id="3742" w:name="_Toc40217119"/>
      <w:bookmarkStart w:id="3743" w:name="_Toc40217741"/>
      <w:bookmarkStart w:id="3744" w:name="_Toc40218362"/>
      <w:bookmarkStart w:id="3745" w:name="_Toc40246221"/>
      <w:bookmarkStart w:id="3746" w:name="_Toc40246877"/>
      <w:bookmarkStart w:id="3747" w:name="_Toc40247791"/>
      <w:bookmarkStart w:id="3748" w:name="_Toc40248317"/>
      <w:bookmarkStart w:id="3749" w:name="_Toc40248844"/>
      <w:bookmarkStart w:id="3750" w:name="_Toc40249964"/>
      <w:bookmarkStart w:id="3751" w:name="_Toc40251732"/>
      <w:bookmarkStart w:id="3752" w:name="_Toc40256842"/>
      <w:bookmarkStart w:id="3753" w:name="_Toc40215851"/>
      <w:bookmarkStart w:id="3754" w:name="_Toc40216503"/>
      <w:bookmarkStart w:id="3755" w:name="_Toc40217120"/>
      <w:bookmarkStart w:id="3756" w:name="_Toc40217742"/>
      <w:bookmarkStart w:id="3757" w:name="_Toc40218363"/>
      <w:bookmarkStart w:id="3758" w:name="_Toc40246222"/>
      <w:bookmarkStart w:id="3759" w:name="_Toc40246878"/>
      <w:bookmarkStart w:id="3760" w:name="_Toc40247792"/>
      <w:bookmarkStart w:id="3761" w:name="_Toc40248318"/>
      <w:bookmarkStart w:id="3762" w:name="_Toc40248845"/>
      <w:bookmarkStart w:id="3763" w:name="_Toc40249965"/>
      <w:bookmarkStart w:id="3764" w:name="_Toc40251733"/>
      <w:bookmarkStart w:id="3765" w:name="_Toc40256843"/>
      <w:bookmarkStart w:id="3766" w:name="_Toc40124935"/>
      <w:bookmarkStart w:id="3767" w:name="_Toc41651976"/>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r>
        <w:t>A therapeutic</w:t>
      </w:r>
      <w:r w:rsidR="002D28FD">
        <w:t xml:space="preserve"> and prevention-focused</w:t>
      </w:r>
      <w:r>
        <w:t xml:space="preserve"> </w:t>
      </w:r>
      <w:r w:rsidRPr="00B245B7">
        <w:t>criminal justice system</w:t>
      </w:r>
      <w:bookmarkEnd w:id="3766"/>
      <w:bookmarkEnd w:id="3767"/>
    </w:p>
    <w:p w14:paraId="456FCAD2" w14:textId="14A1A79F" w:rsidR="00584413" w:rsidRDefault="00584413" w:rsidP="004F7C7B">
      <w:r>
        <w:t xml:space="preserve">Many people </w:t>
      </w:r>
      <w:r w:rsidRPr="00454A44">
        <w:t xml:space="preserve">with mental health issues in the criminal justice system, often charged with low level offences, </w:t>
      </w:r>
      <w:r>
        <w:t xml:space="preserve">find it difficult to return to stable lives and permanently exit the criminal justice system and they may </w:t>
      </w:r>
      <w:r w:rsidRPr="00454A44">
        <w:t>become entrenched.</w:t>
      </w:r>
      <w:r w:rsidRPr="00647C1C">
        <w:t xml:space="preserve"> </w:t>
      </w:r>
      <w:r w:rsidR="00DE4993" w:rsidRPr="00BA511B">
        <w:t xml:space="preserve">Our practitioners consistently </w:t>
      </w:r>
      <w:r w:rsidR="00DE4993">
        <w:t>highlight</w:t>
      </w:r>
      <w:r w:rsidR="00DE4993" w:rsidRPr="00BA511B">
        <w:t xml:space="preserve"> the</w:t>
      </w:r>
      <w:r w:rsidR="00DE4993">
        <w:t xml:space="preserve"> busy and time-pressed environment of the Magistrates’ Court as a significant </w:t>
      </w:r>
      <w:r w:rsidR="001B5ABF">
        <w:t xml:space="preserve">barrier to </w:t>
      </w:r>
      <w:r w:rsidR="00DE4993" w:rsidRPr="00BA511B">
        <w:t>effective</w:t>
      </w:r>
      <w:r w:rsidR="00DE4993">
        <w:t xml:space="preserve">ly addressing the underlying causes of offending and reducing </w:t>
      </w:r>
      <w:r w:rsidR="001B5ABF">
        <w:t>recidivism</w:t>
      </w:r>
      <w:r w:rsidR="00DE4993" w:rsidRPr="00BA511B">
        <w:t>.</w:t>
      </w:r>
    </w:p>
    <w:p w14:paraId="43A4EEF4" w14:textId="1659741A" w:rsidR="005478FD" w:rsidRDefault="0074561D" w:rsidP="005478FD">
      <w:bookmarkStart w:id="3768" w:name="_Hlk40100993"/>
      <w:r>
        <w:t>Too often we find that t</w:t>
      </w:r>
      <w:r w:rsidR="005478FD">
        <w:t xml:space="preserve">he justice system has been designed </w:t>
      </w:r>
      <w:r>
        <w:t xml:space="preserve">by and </w:t>
      </w:r>
      <w:r w:rsidR="005478FD">
        <w:t>for the institutions in it –</w:t>
      </w:r>
      <w:r w:rsidR="6A22302C">
        <w:t xml:space="preserve"> </w:t>
      </w:r>
      <w:r w:rsidR="005478FD">
        <w:t xml:space="preserve">courts, lawyers, and police – </w:t>
      </w:r>
      <w:r>
        <w:t>rather than</w:t>
      </w:r>
      <w:r w:rsidR="005478FD">
        <w:t xml:space="preserve"> those who use and should benefit from the system. </w:t>
      </w:r>
      <w:r w:rsidR="00F448E9" w:rsidRPr="00BA511B">
        <w:t xml:space="preserve">In recent </w:t>
      </w:r>
      <w:r w:rsidR="008A57B8" w:rsidRPr="00BA511B">
        <w:t>years,</w:t>
      </w:r>
      <w:r w:rsidR="00F448E9" w:rsidRPr="00BA511B">
        <w:t xml:space="preserve"> the Victorian criminal justice system has undergone significant reform without proper assessment of the impact those changes on the </w:t>
      </w:r>
      <w:proofErr w:type="gramStart"/>
      <w:r w:rsidR="00F448E9" w:rsidRPr="00BA511B">
        <w:t>system as a whole, the</w:t>
      </w:r>
      <w:proofErr w:type="gramEnd"/>
      <w:r w:rsidR="00F448E9" w:rsidRPr="00BA511B">
        <w:t xml:space="preserve"> resourcing required to address that impact</w:t>
      </w:r>
      <w:r w:rsidR="00F448E9">
        <w:t xml:space="preserve">, or </w:t>
      </w:r>
      <w:r w:rsidR="00F448E9" w:rsidRPr="00BA511B">
        <w:t xml:space="preserve">evaluation of the impact on users’ experience or outcomes. </w:t>
      </w:r>
    </w:p>
    <w:p w14:paraId="6CC4ACDC" w14:textId="25A7FE30" w:rsidR="00584413" w:rsidRDefault="0033305D" w:rsidP="00584413">
      <w:r>
        <w:t>The</w:t>
      </w:r>
      <w:r w:rsidR="00584413">
        <w:t xml:space="preserve"> justice system </w:t>
      </w:r>
      <w:r>
        <w:t>should be an opportunity to intervene positively in a person’s life and support their recovery. It should</w:t>
      </w:r>
      <w:r w:rsidR="00584413">
        <w:t xml:space="preserve"> provide an opportunity for integrated support to help people address the causes of their offending, rather than further entrench criminogenic patterns. In our vision: </w:t>
      </w:r>
    </w:p>
    <w:p w14:paraId="50285434" w14:textId="51A9350B" w:rsidR="00584413" w:rsidRDefault="00584413" w:rsidP="00904F90">
      <w:pPr>
        <w:pStyle w:val="Listbulletcoloured"/>
      </w:pPr>
      <w:r>
        <w:t>People would be supported to remain in the community as much as possible</w:t>
      </w:r>
      <w:r w:rsidR="003C7DB4">
        <w:t xml:space="preserve"> at each stage of proceedings:</w:t>
      </w:r>
      <w:r>
        <w:t xml:space="preserve"> </w:t>
      </w:r>
      <w:r w:rsidR="003C7DB4">
        <w:t xml:space="preserve">pre-sentence </w:t>
      </w:r>
      <w:r w:rsidR="0050056D">
        <w:t xml:space="preserve">through </w:t>
      </w:r>
      <w:r w:rsidR="003A67BB">
        <w:t xml:space="preserve">granting </w:t>
      </w:r>
      <w:r>
        <w:t>bail</w:t>
      </w:r>
      <w:r w:rsidR="003C7DB4">
        <w:t xml:space="preserve"> and resourcing bail support programs;</w:t>
      </w:r>
      <w:r w:rsidR="00AB2110">
        <w:t xml:space="preserve"> </w:t>
      </w:r>
      <w:r w:rsidR="003C7DB4">
        <w:t xml:space="preserve">at sentence through </w:t>
      </w:r>
      <w:r w:rsidR="00AB2110">
        <w:t xml:space="preserve">ordering </w:t>
      </w:r>
      <w:r>
        <w:t xml:space="preserve">undertakings, deferrals, community sentences over short </w:t>
      </w:r>
      <w:r>
        <w:lastRenderedPageBreak/>
        <w:t>sentences of imprisonment</w:t>
      </w:r>
      <w:r w:rsidR="00AB2110">
        <w:t>; and post-sentence</w:t>
      </w:r>
      <w:r w:rsidR="003C7DB4">
        <w:t xml:space="preserve"> through access to parole, supervision and proper transition</w:t>
      </w:r>
      <w:r w:rsidR="008A57B8">
        <w:t xml:space="preserve"> </w:t>
      </w:r>
      <w:r w:rsidR="003C7DB4">
        <w:t>supports</w:t>
      </w:r>
      <w:r w:rsidR="00354867">
        <w:t>.</w:t>
      </w:r>
    </w:p>
    <w:p w14:paraId="36333877" w14:textId="2E27318A" w:rsidR="00584413" w:rsidRPr="004751B1" w:rsidRDefault="00584413" w:rsidP="00904F90">
      <w:pPr>
        <w:pStyle w:val="Listbulletcoloured"/>
      </w:pPr>
      <w:r>
        <w:t xml:space="preserve">People struggling to break the cycle of offending due to their mental health and other issues would have access to specialist therapeutic courts to provide monitoring and case management of people, no matter </w:t>
      </w:r>
      <w:r w:rsidRPr="004751B1">
        <w:t xml:space="preserve">where they </w:t>
      </w:r>
      <w:r w:rsidR="00420A90">
        <w:t>live</w:t>
      </w:r>
      <w:r w:rsidR="00420A90" w:rsidRPr="004751B1">
        <w:t xml:space="preserve"> </w:t>
      </w:r>
      <w:r w:rsidRPr="004751B1">
        <w:t>in Victoria</w:t>
      </w:r>
      <w:r w:rsidR="00354867">
        <w:t>.</w:t>
      </w:r>
    </w:p>
    <w:p w14:paraId="660A0472" w14:textId="30A4520D" w:rsidR="00584413" w:rsidRPr="004751B1" w:rsidRDefault="00584413" w:rsidP="00904F90">
      <w:pPr>
        <w:pStyle w:val="Listbulletcoloured"/>
      </w:pPr>
      <w:r w:rsidRPr="004751B1">
        <w:t>Magistrates would have a mechanism for assessing and resolving fitness and mental impairment for appropriate matters in the summary jurisdiction</w:t>
      </w:r>
      <w:r w:rsidR="00354867">
        <w:t>.</w:t>
      </w:r>
      <w:r w:rsidRPr="004751B1">
        <w:t xml:space="preserve"> </w:t>
      </w:r>
    </w:p>
    <w:p w14:paraId="295973BD" w14:textId="2AEC8B2D" w:rsidR="00584413" w:rsidRPr="004751B1" w:rsidRDefault="00584413" w:rsidP="00904F90">
      <w:pPr>
        <w:pStyle w:val="Listbulletcoloured"/>
      </w:pPr>
      <w:r w:rsidRPr="004751B1">
        <w:t>Magistrates would have a greater range of options for managing and finalising offending which arose in part due to experiencing mental health issues, including an option for a Rehabilitation Order</w:t>
      </w:r>
      <w:r w:rsidR="00354867">
        <w:t>.</w:t>
      </w:r>
    </w:p>
    <w:p w14:paraId="67B9E9D5" w14:textId="6E911F24" w:rsidR="00584413" w:rsidRDefault="00584413" w:rsidP="00904F90">
      <w:pPr>
        <w:pStyle w:val="Listbulletcoloured"/>
      </w:pPr>
      <w:r w:rsidRPr="004751B1">
        <w:t>Community Correction</w:t>
      </w:r>
      <w:r w:rsidR="00FB28DF">
        <w:t>s</w:t>
      </w:r>
      <w:r w:rsidRPr="004751B1">
        <w:t xml:space="preserve"> Order </w:t>
      </w:r>
      <w:r w:rsidR="002E6A14">
        <w:t>(</w:t>
      </w:r>
      <w:r w:rsidR="002E6A14" w:rsidRPr="002E6A14">
        <w:rPr>
          <w:b/>
          <w:bCs/>
        </w:rPr>
        <w:t>CCO</w:t>
      </w:r>
      <w:r w:rsidR="002E6A14">
        <w:t xml:space="preserve">) </w:t>
      </w:r>
      <w:r w:rsidRPr="002E6A14">
        <w:t>supervision</w:t>
      </w:r>
      <w:r w:rsidRPr="004751B1">
        <w:t xml:space="preserve"> </w:t>
      </w:r>
      <w:r w:rsidR="00FB28DF">
        <w:t>would be</w:t>
      </w:r>
      <w:r w:rsidRPr="004751B1">
        <w:t xml:space="preserve"> responsive and recovery focused.</w:t>
      </w:r>
    </w:p>
    <w:p w14:paraId="6EB5885B" w14:textId="293847C5" w:rsidR="00584413" w:rsidRDefault="00584413" w:rsidP="00B05B27">
      <w:pPr>
        <w:pStyle w:val="Heading3"/>
      </w:pPr>
      <w:bookmarkStart w:id="3769" w:name="_Toc40124936"/>
      <w:bookmarkEnd w:id="3768"/>
      <w:r>
        <w:t>Supporting people to remain in the community</w:t>
      </w:r>
      <w:bookmarkEnd w:id="3769"/>
      <w:r>
        <w:t xml:space="preserve"> </w:t>
      </w:r>
      <w:r w:rsidR="008A57B8">
        <w:t>and bail support programs</w:t>
      </w:r>
    </w:p>
    <w:p w14:paraId="453CF801" w14:textId="3F498FAB" w:rsidR="00584413" w:rsidRDefault="00584413" w:rsidP="00584413">
      <w:r>
        <w:t xml:space="preserve">Prioritising approaches that enable people with mental health issues to remain in the community wherever appropriate, reduces the likelihood of reoffending as it gives people a greater chance of remaining connected to supports that are essential to their recovery and wellbeing, including housing, education, employment, health supports, </w:t>
      </w:r>
      <w:r w:rsidR="00BB7A80">
        <w:t>NDIS</w:t>
      </w:r>
      <w:r>
        <w:t xml:space="preserve"> services, community and family.</w:t>
      </w:r>
      <w:r w:rsidR="00041AE5">
        <w:t xml:space="preserve"> </w:t>
      </w:r>
      <w:proofErr w:type="gramStart"/>
      <w:r w:rsidR="00041AE5" w:rsidRPr="00041AE5">
        <w:t>In particular, where</w:t>
      </w:r>
      <w:proofErr w:type="gramEnd"/>
      <w:r w:rsidR="00041AE5" w:rsidRPr="00041AE5">
        <w:t xml:space="preserve"> a client has dual diagnoses with disability, </w:t>
      </w:r>
      <w:r w:rsidR="003908C0">
        <w:t>current</w:t>
      </w:r>
      <w:r w:rsidR="00041AE5" w:rsidRPr="00041AE5">
        <w:t xml:space="preserve"> failures in the service system mean that people cannot get access to the right services. In our experience</w:t>
      </w:r>
      <w:r w:rsidR="002C0248">
        <w:t>,</w:t>
      </w:r>
      <w:r w:rsidR="00041AE5" w:rsidRPr="00041AE5">
        <w:t xml:space="preserve"> transition to the NDIS is exacerbating these issues.</w:t>
      </w:r>
      <w:r w:rsidR="003908C0">
        <w:rPr>
          <w:rStyle w:val="FootnoteReference"/>
          <w:rFonts w:eastAsia="Arial"/>
          <w:szCs w:val="20"/>
        </w:rPr>
        <w:footnoteReference w:id="177"/>
      </w:r>
    </w:p>
    <w:p w14:paraId="544719D0" w14:textId="62C39A7E" w:rsidR="00584413" w:rsidRDefault="00584413" w:rsidP="00584413">
      <w:r>
        <w:t xml:space="preserve">Practical and prosocial supports are necessary for marginalised people </w:t>
      </w:r>
      <w:r w:rsidRPr="00F207E3">
        <w:t>to be granted bail</w:t>
      </w:r>
      <w:r>
        <w:t xml:space="preserve">, particularly </w:t>
      </w:r>
      <w:r w:rsidRPr="00F207E3">
        <w:t>clients experiencing mental health issues</w:t>
      </w:r>
      <w:r>
        <w:t xml:space="preserve">. </w:t>
      </w:r>
      <w:r w:rsidR="004F3F48">
        <w:t xml:space="preserve">The </w:t>
      </w:r>
      <w:r>
        <w:t xml:space="preserve">SAC </w:t>
      </w:r>
      <w:r w:rsidRPr="00F207E3">
        <w:t>highlight</w:t>
      </w:r>
      <w:r>
        <w:t xml:space="preserve">ed the significant </w:t>
      </w:r>
      <w:r w:rsidRPr="00F207E3">
        <w:t xml:space="preserve">proportion </w:t>
      </w:r>
      <w:r>
        <w:t xml:space="preserve">of </w:t>
      </w:r>
      <w:r w:rsidRPr="00F207E3">
        <w:t>clients experiencing mental health issues (diagnosed and undiagnosed)</w:t>
      </w:r>
      <w:r>
        <w:t xml:space="preserve"> for whom lack of supports results in </w:t>
      </w:r>
      <w:r w:rsidRPr="00F207E3">
        <w:t>an increase in time spent on remand and an increased in time served sentences.</w:t>
      </w:r>
      <w:r w:rsidRPr="00F207E3">
        <w:rPr>
          <w:rStyle w:val="FootnoteReference"/>
          <w:rFonts w:eastAsia="Arial"/>
        </w:rPr>
        <w:footnoteReference w:id="178"/>
      </w:r>
      <w:r w:rsidRPr="00F207E3">
        <w:t xml:space="preserve"> </w:t>
      </w:r>
    </w:p>
    <w:p w14:paraId="46B62FE8" w14:textId="6AD00618" w:rsidR="00584413" w:rsidRPr="00EB7269" w:rsidRDefault="00584413" w:rsidP="00584413">
      <w:r>
        <w:t>The Court Integrated Services Program (</w:t>
      </w:r>
      <w:r w:rsidRPr="00260B25">
        <w:rPr>
          <w:b/>
          <w:bCs/>
        </w:rPr>
        <w:t>CISP</w:t>
      </w:r>
      <w:r>
        <w:t xml:space="preserve">) is a pre-trial and bail program that provides case management and coordinates referrals to external treatment and support services. </w:t>
      </w:r>
      <w:r w:rsidR="00B15AE1">
        <w:t xml:space="preserve">CISP is typically a precondition for people with complex needs to get bail. </w:t>
      </w:r>
      <w:r>
        <w:t>However,</w:t>
      </w:r>
      <w:r w:rsidR="00BB7A80">
        <w:t xml:space="preserve"> </w:t>
      </w:r>
      <w:r w:rsidR="00B25FCC">
        <w:t>i</w:t>
      </w:r>
      <w:r>
        <w:t xml:space="preserve">n regional Victoria less than half of all courts have access to this program, </w:t>
      </w:r>
      <w:r w:rsidRPr="00EB7269">
        <w:t>despite many having been positively evaluated</w:t>
      </w:r>
      <w:r>
        <w:t>.</w:t>
      </w:r>
      <w:r w:rsidRPr="00F207E3">
        <w:rPr>
          <w:rStyle w:val="FootnoteReference"/>
          <w:rFonts w:eastAsia="Arial"/>
        </w:rPr>
        <w:footnoteReference w:id="179"/>
      </w:r>
      <w:r>
        <w:t xml:space="preserve"> </w:t>
      </w:r>
      <w:r w:rsidRPr="00EB7269">
        <w:t xml:space="preserve">There are commonly delays </w:t>
      </w:r>
      <w:r w:rsidRPr="00020AA1">
        <w:rPr>
          <w:szCs w:val="28"/>
        </w:rPr>
        <w:t>of</w:t>
      </w:r>
      <w:r w:rsidRPr="00EB7269">
        <w:t xml:space="preserve"> days to weeks for people in custody seeking a</w:t>
      </w:r>
      <w:r w:rsidR="00B25FCC">
        <w:t xml:space="preserve"> CISP suitability</w:t>
      </w:r>
      <w:r w:rsidRPr="00EB7269">
        <w:t xml:space="preserve"> assessment; recent research finds that ‘most CISP sites are running at full capacity’.</w:t>
      </w:r>
      <w:r w:rsidRPr="00EB7269">
        <w:rPr>
          <w:rStyle w:val="FootnoteReference"/>
          <w:rFonts w:eastAsia="Arial"/>
          <w:szCs w:val="20"/>
        </w:rPr>
        <w:footnoteReference w:id="180"/>
      </w:r>
      <w:r w:rsidRPr="00EB7269">
        <w:t xml:space="preserve"> </w:t>
      </w:r>
    </w:p>
    <w:p w14:paraId="5CBD8C20" w14:textId="59E74ED9" w:rsidR="00584413" w:rsidRDefault="00BB7A80" w:rsidP="00706B9C">
      <w:pPr>
        <w:rPr>
          <w:lang w:eastAsia="en-AU"/>
        </w:rPr>
      </w:pPr>
      <w:r w:rsidRPr="00EB7269">
        <w:t xml:space="preserve">There is no bail support </w:t>
      </w:r>
      <w:r>
        <w:t xml:space="preserve">program specifically </w:t>
      </w:r>
      <w:r w:rsidRPr="00EB7269">
        <w:t>for people with mental health issues</w:t>
      </w:r>
      <w:r>
        <w:t xml:space="preserve">, and our experience is that there </w:t>
      </w:r>
      <w:r w:rsidRPr="00EB7269">
        <w:t xml:space="preserve">can </w:t>
      </w:r>
      <w:r>
        <w:t>also</w:t>
      </w:r>
      <w:r w:rsidRPr="00EB7269">
        <w:t xml:space="preserve"> be significant delays in referrals to psychosocial supports such as appointments with psychologists, particularly for people in regional Victoria.</w:t>
      </w:r>
      <w:r w:rsidRPr="00EB7269">
        <w:rPr>
          <w:rStyle w:val="FootnoteReference"/>
          <w:rFonts w:eastAsia="Arial"/>
          <w:szCs w:val="20"/>
        </w:rPr>
        <w:footnoteReference w:id="181"/>
      </w:r>
      <w:r>
        <w:t xml:space="preserve"> </w:t>
      </w:r>
      <w:r w:rsidR="00584413">
        <w:t>W</w:t>
      </w:r>
      <w:r w:rsidR="00584413" w:rsidRPr="00EB7269">
        <w:t>e endorse</w:t>
      </w:r>
      <w:r w:rsidR="00584413" w:rsidRPr="00EB7269">
        <w:rPr>
          <w:lang w:val="en-US"/>
        </w:rPr>
        <w:t xml:space="preserve"> the </w:t>
      </w:r>
      <w:r w:rsidR="00584413" w:rsidRPr="00EB7269">
        <w:rPr>
          <w:lang w:val="en-US"/>
        </w:rPr>
        <w:lastRenderedPageBreak/>
        <w:t xml:space="preserve">Magistrates’ Court of Victoria recommendation for a specialist bail program to be linked </w:t>
      </w:r>
      <w:r w:rsidR="00584413" w:rsidRPr="00020AA1">
        <w:rPr>
          <w:szCs w:val="28"/>
        </w:rPr>
        <w:t>with</w:t>
      </w:r>
      <w:r w:rsidR="00584413" w:rsidRPr="00EB7269">
        <w:rPr>
          <w:lang w:val="en-US"/>
        </w:rPr>
        <w:t xml:space="preserve"> CISP for people with mental </w:t>
      </w:r>
      <w:r w:rsidR="00584413">
        <w:rPr>
          <w:lang w:val="en-US"/>
        </w:rPr>
        <w:t>health issues</w:t>
      </w:r>
      <w:r w:rsidR="00584413" w:rsidRPr="00EB7269">
        <w:t>.</w:t>
      </w:r>
    </w:p>
    <w:p w14:paraId="2D05B761" w14:textId="1E8215B4" w:rsidR="00584413" w:rsidRPr="001028B6" w:rsidRDefault="00695065" w:rsidP="00293D08">
      <w:pPr>
        <w:pageBreakBefore/>
        <w:shd w:val="clear" w:color="auto" w:fill="DEEAF6" w:themeFill="accent5" w:themeFillTint="33"/>
        <w:spacing w:after="0" w:line="276" w:lineRule="auto"/>
        <w:ind w:left="425"/>
      </w:pPr>
      <w:bookmarkStart w:id="3770" w:name="_Toc40355783"/>
      <w:bookmarkStart w:id="3771" w:name="_Toc41325431"/>
      <w:bookmarkStart w:id="3772" w:name="_Toc41332840"/>
      <w:bookmarkStart w:id="3773" w:name="_Toc41412018"/>
      <w:r w:rsidRPr="00B9060C">
        <w:rPr>
          <w:b/>
          <w:bCs/>
        </w:rPr>
        <w:lastRenderedPageBreak/>
        <w:t xml:space="preserve">Recommendation </w:t>
      </w:r>
      <w:r>
        <w:rPr>
          <w:b/>
          <w:bCs/>
        </w:rPr>
        <w:t xml:space="preserve">49: </w:t>
      </w:r>
      <w:r w:rsidR="000833C6">
        <w:rPr>
          <w:b/>
          <w:bCs/>
        </w:rPr>
        <w:tab/>
      </w:r>
      <w:r w:rsidR="007B64F8" w:rsidRPr="00695065">
        <w:rPr>
          <w:b/>
          <w:bCs/>
        </w:rPr>
        <w:t>Expand b</w:t>
      </w:r>
      <w:r w:rsidR="00584413" w:rsidRPr="00695065">
        <w:rPr>
          <w:b/>
          <w:bCs/>
        </w:rPr>
        <w:t>ail support programs</w:t>
      </w:r>
      <w:bookmarkEnd w:id="3770"/>
      <w:bookmarkEnd w:id="3771"/>
      <w:bookmarkEnd w:id="3772"/>
      <w:bookmarkEnd w:id="3773"/>
    </w:p>
    <w:p w14:paraId="3D1185BD" w14:textId="5533CCED" w:rsidR="00584413" w:rsidRPr="00293D08" w:rsidRDefault="00584413" w:rsidP="00DB4E17">
      <w:pPr>
        <w:shd w:val="clear" w:color="auto" w:fill="DEEAF6" w:themeFill="accent5" w:themeFillTint="33"/>
        <w:spacing w:before="120" w:line="276" w:lineRule="auto"/>
        <w:ind w:left="425"/>
      </w:pPr>
      <w:r w:rsidRPr="00695065">
        <w:t xml:space="preserve">The Victorian Government should </w:t>
      </w:r>
      <w:r w:rsidR="00465174" w:rsidRPr="00695065">
        <w:t xml:space="preserve">rollout </w:t>
      </w:r>
      <w:r w:rsidR="002C0248" w:rsidRPr="00695065">
        <w:t xml:space="preserve">the Court Integrated Services Program </w:t>
      </w:r>
      <w:r w:rsidR="00465174" w:rsidRPr="00695065">
        <w:t>state</w:t>
      </w:r>
      <w:r w:rsidR="002C0248" w:rsidRPr="00695065">
        <w:t>-</w:t>
      </w:r>
      <w:r w:rsidR="00465174" w:rsidRPr="00695065">
        <w:t xml:space="preserve">wide, and </w:t>
      </w:r>
      <w:r w:rsidRPr="00695065">
        <w:t>resource a mental health specialist bail program</w:t>
      </w:r>
      <w:r w:rsidR="00BB7A80" w:rsidRPr="00695065">
        <w:t xml:space="preserve"> to</w:t>
      </w:r>
      <w:r w:rsidRPr="00695065">
        <w:t xml:space="preserve"> provide case management and link clients promptly with locally based services</w:t>
      </w:r>
      <w:r w:rsidR="00BB7A80" w:rsidRPr="00695065">
        <w:t xml:space="preserve"> (e.g. </w:t>
      </w:r>
      <w:r w:rsidR="00465174" w:rsidRPr="00695065">
        <w:t xml:space="preserve">an </w:t>
      </w:r>
      <w:r w:rsidR="00BB7A80" w:rsidRPr="00695065">
        <w:t xml:space="preserve">expanded and specialised </w:t>
      </w:r>
      <w:r w:rsidR="002C0248" w:rsidRPr="00695065">
        <w:t>Court Integrated Services Program</w:t>
      </w:r>
      <w:r w:rsidR="00BB7A80" w:rsidRPr="00695065">
        <w:t xml:space="preserve"> service)</w:t>
      </w:r>
      <w:r w:rsidR="00020EC5" w:rsidRPr="00695065">
        <w:t>.</w:t>
      </w:r>
    </w:p>
    <w:p w14:paraId="6EA80921" w14:textId="4D61AB86" w:rsidR="00EF532E" w:rsidRDefault="000E74FC" w:rsidP="00AC258C">
      <w:pPr>
        <w:pStyle w:val="Heading3"/>
      </w:pPr>
      <w:bookmarkStart w:id="3774" w:name="_Toc40124937"/>
      <w:r>
        <w:t>Increasing a</w:t>
      </w:r>
      <w:r w:rsidR="00AA0738">
        <w:t>ccess to t</w:t>
      </w:r>
      <w:r w:rsidR="00EF532E" w:rsidRPr="00B245B7">
        <w:t xml:space="preserve">herapeutic </w:t>
      </w:r>
      <w:r w:rsidR="00BB7A80">
        <w:t>c</w:t>
      </w:r>
      <w:r w:rsidR="00EF532E" w:rsidRPr="00B245B7">
        <w:t xml:space="preserve">ourts </w:t>
      </w:r>
      <w:bookmarkEnd w:id="3774"/>
    </w:p>
    <w:p w14:paraId="064074CB" w14:textId="4F730B8F" w:rsidR="00BB7A80" w:rsidRDefault="00EF532E" w:rsidP="00BB7A80">
      <w:pPr>
        <w:rPr>
          <w:rFonts w:eastAsiaTheme="majorEastAsia" w:cs="Arial"/>
          <w:color w:val="272727" w:themeColor="text1" w:themeTint="D8"/>
        </w:rPr>
      </w:pPr>
      <w:r>
        <w:rPr>
          <w:rFonts w:cs="Arial"/>
        </w:rPr>
        <w:t>Our</w:t>
      </w:r>
      <w:r w:rsidRPr="00826EE6">
        <w:rPr>
          <w:rFonts w:cs="Arial"/>
          <w:color w:val="000000"/>
          <w:szCs w:val="22"/>
          <w:shd w:val="clear" w:color="auto" w:fill="FFFFFF"/>
        </w:rPr>
        <w:t xml:space="preserve"> </w:t>
      </w:r>
      <w:r w:rsidR="00BB7A80">
        <w:rPr>
          <w:rFonts w:cs="Arial"/>
          <w:i/>
          <w:iCs/>
          <w:color w:val="000000"/>
          <w:szCs w:val="22"/>
          <w:shd w:val="clear" w:color="auto" w:fill="FFFFFF"/>
        </w:rPr>
        <w:t xml:space="preserve">Roads to Recovery </w:t>
      </w:r>
      <w:r>
        <w:rPr>
          <w:rStyle w:val="normaltextrun"/>
          <w:rFonts w:cs="Arial"/>
          <w:color w:val="000000"/>
          <w:szCs w:val="22"/>
          <w:shd w:val="clear" w:color="auto" w:fill="FFFFFF"/>
        </w:rPr>
        <w:t xml:space="preserve">submission </w:t>
      </w:r>
      <w:r>
        <w:rPr>
          <w:rStyle w:val="normaltextrun"/>
          <w:rFonts w:cs="Arial"/>
          <w:color w:val="000000"/>
          <w:szCs w:val="22"/>
          <w:shd w:val="clear" w:color="auto" w:fill="FFFFFF"/>
          <w:lang w:val="en-US"/>
        </w:rPr>
        <w:t xml:space="preserve">sets out the benefits of </w:t>
      </w:r>
      <w:r>
        <w:rPr>
          <w:rFonts w:cs="Arial"/>
        </w:rPr>
        <w:t>people with mental health issues having access to therapeutic responses to criminal offending.</w:t>
      </w:r>
      <w:bookmarkStart w:id="3775" w:name="_Ref29939574"/>
      <w:r>
        <w:rPr>
          <w:rStyle w:val="FootnoteReference"/>
          <w:rFonts w:cs="Arial"/>
        </w:rPr>
        <w:footnoteReference w:id="182"/>
      </w:r>
      <w:bookmarkEnd w:id="3775"/>
      <w:r>
        <w:rPr>
          <w:rFonts w:cs="Arial"/>
        </w:rPr>
        <w:t xml:space="preserve"> </w:t>
      </w:r>
      <w:r w:rsidR="00BB7A80" w:rsidRPr="00C14732">
        <w:rPr>
          <w:rFonts w:eastAsiaTheme="majorEastAsia" w:cs="Arial"/>
          <w:color w:val="272727"/>
        </w:rPr>
        <w:t>Specialist and problem-solving courts such as the Assessment and Referral Court (</w:t>
      </w:r>
      <w:r w:rsidR="00BB7A80" w:rsidRPr="00C14732">
        <w:rPr>
          <w:rFonts w:eastAsiaTheme="majorEastAsia" w:cs="Arial"/>
          <w:b/>
          <w:color w:val="272727"/>
        </w:rPr>
        <w:t>ARC</w:t>
      </w:r>
      <w:r w:rsidR="00BB7A80" w:rsidRPr="00C14732">
        <w:rPr>
          <w:rFonts w:eastAsiaTheme="majorEastAsia" w:cs="Arial"/>
          <w:color w:val="272727"/>
        </w:rPr>
        <w:t>)</w:t>
      </w:r>
      <w:r w:rsidR="003D76D3">
        <w:rPr>
          <w:rFonts w:eastAsiaTheme="majorEastAsia" w:cs="Arial"/>
          <w:color w:val="272727"/>
        </w:rPr>
        <w:t>, Drug Court, Koori Court and Neighbourhood Justice Centre</w:t>
      </w:r>
      <w:r w:rsidR="00BB7A80">
        <w:rPr>
          <w:rFonts w:eastAsiaTheme="majorEastAsia" w:cs="Arial"/>
          <w:color w:val="272727"/>
        </w:rPr>
        <w:t xml:space="preserve">, </w:t>
      </w:r>
      <w:r w:rsidR="00BB7A80" w:rsidRPr="008500A6">
        <w:rPr>
          <w:rFonts w:eastAsiaTheme="majorEastAsia" w:cs="Arial"/>
          <w:color w:val="272727" w:themeColor="text1" w:themeTint="D8"/>
        </w:rPr>
        <w:t xml:space="preserve">recognise that recovery takes time and </w:t>
      </w:r>
      <w:r w:rsidR="00BB7A80">
        <w:rPr>
          <w:rFonts w:eastAsiaTheme="majorEastAsia" w:cs="Arial"/>
          <w:color w:val="272727" w:themeColor="text1" w:themeTint="D8"/>
        </w:rPr>
        <w:t>is not linear,</w:t>
      </w:r>
      <w:r w:rsidR="00BB7A80" w:rsidRPr="097EF44A">
        <w:rPr>
          <w:rFonts w:eastAsiaTheme="majorEastAsia" w:cs="Arial"/>
          <w:color w:val="272727"/>
        </w:rPr>
        <w:t xml:space="preserve"> </w:t>
      </w:r>
      <w:r w:rsidR="00045EB6" w:rsidRPr="097EF44A">
        <w:rPr>
          <w:rFonts w:eastAsiaTheme="majorEastAsia" w:cs="Arial"/>
          <w:color w:val="272727"/>
        </w:rPr>
        <w:t>and</w:t>
      </w:r>
      <w:r w:rsidR="00BB7A80">
        <w:rPr>
          <w:rFonts w:eastAsiaTheme="majorEastAsia" w:cs="Arial"/>
          <w:color w:val="272727" w:themeColor="text1" w:themeTint="D8"/>
        </w:rPr>
        <w:t xml:space="preserve"> </w:t>
      </w:r>
      <w:r w:rsidR="00BB7A80" w:rsidRPr="008500A6">
        <w:rPr>
          <w:rFonts w:eastAsiaTheme="majorEastAsia" w:cs="Arial"/>
          <w:color w:val="272727" w:themeColor="text1" w:themeTint="D8"/>
        </w:rPr>
        <w:t xml:space="preserve">requires a collaborative and multidisciplinary approach that works towards a common </w:t>
      </w:r>
      <w:r w:rsidR="00BB7A80">
        <w:rPr>
          <w:rFonts w:eastAsiaTheme="majorEastAsia" w:cs="Arial"/>
          <w:color w:val="272727" w:themeColor="text1" w:themeTint="D8"/>
        </w:rPr>
        <w:t>outcome.</w:t>
      </w:r>
      <w:r w:rsidR="00BB7A80">
        <w:rPr>
          <w:rFonts w:eastAsiaTheme="majorEastAsia" w:cs="Arial"/>
          <w:color w:val="272727"/>
        </w:rPr>
        <w:t xml:space="preserve"> They also provide </w:t>
      </w:r>
      <w:r w:rsidR="00B06032">
        <w:rPr>
          <w:rFonts w:eastAsiaTheme="majorEastAsia" w:cs="Arial"/>
          <w:color w:val="272727"/>
        </w:rPr>
        <w:t xml:space="preserve">the </w:t>
      </w:r>
      <w:r w:rsidR="00BB7A80">
        <w:rPr>
          <w:rFonts w:eastAsiaTheme="majorEastAsia" w:cs="Arial"/>
          <w:color w:val="272727"/>
        </w:rPr>
        <w:t>time and space</w:t>
      </w:r>
      <w:r w:rsidR="00B06032">
        <w:rPr>
          <w:rFonts w:eastAsiaTheme="majorEastAsia" w:cs="Arial"/>
          <w:color w:val="272727"/>
        </w:rPr>
        <w:t xml:space="preserve"> for</w:t>
      </w:r>
      <w:r w:rsidR="00BB7A80">
        <w:rPr>
          <w:rFonts w:eastAsiaTheme="majorEastAsia" w:cs="Arial"/>
          <w:color w:val="272727"/>
        </w:rPr>
        <w:t xml:space="preserve"> individualised responses and close monitoring. </w:t>
      </w:r>
      <w:r w:rsidR="00BB7A80">
        <w:rPr>
          <w:rFonts w:cs="Arial"/>
        </w:rPr>
        <w:t xml:space="preserve">Many evaluations have highlighted the benefits </w:t>
      </w:r>
      <w:r w:rsidR="00BB7A80" w:rsidRPr="00C14732">
        <w:rPr>
          <w:rFonts w:cs="Arial"/>
        </w:rPr>
        <w:t>of therapeutic courts</w:t>
      </w:r>
      <w:r w:rsidR="00BB7A80">
        <w:rPr>
          <w:rFonts w:cs="Arial"/>
        </w:rPr>
        <w:t>.</w:t>
      </w:r>
      <w:r w:rsidR="00BB7A80" w:rsidRPr="0024426A">
        <w:rPr>
          <w:rStyle w:val="FootnoteReference"/>
          <w:rFonts w:eastAsiaTheme="majorEastAsia"/>
          <w:color w:val="272727" w:themeColor="text1" w:themeTint="D8"/>
        </w:rPr>
        <w:footnoteReference w:id="183"/>
      </w:r>
      <w:r w:rsidR="00BB7A80" w:rsidRPr="0024426A">
        <w:rPr>
          <w:rFonts w:eastAsiaTheme="majorEastAsia" w:cs="Arial"/>
          <w:color w:val="272727" w:themeColor="text1" w:themeTint="D8"/>
        </w:rPr>
        <w:t xml:space="preserve"> </w:t>
      </w:r>
    </w:p>
    <w:p w14:paraId="5B1466B5" w14:textId="0C72A7F3" w:rsidR="00BB7A80" w:rsidRDefault="00BB7A80" w:rsidP="00BB7A80">
      <w:pPr>
        <w:rPr>
          <w:rFonts w:eastAsiaTheme="majorEastAsia" w:cs="Arial"/>
          <w:lang w:val="en-US"/>
        </w:rPr>
      </w:pPr>
      <w:r>
        <w:rPr>
          <w:rFonts w:eastAsiaTheme="majorEastAsia" w:cs="Arial"/>
          <w:lang w:val="en-US"/>
        </w:rPr>
        <w:t xml:space="preserve">There are a number of factors which currently limit the full potential of </w:t>
      </w:r>
      <w:r w:rsidR="002477FD">
        <w:rPr>
          <w:rFonts w:eastAsiaTheme="majorEastAsia" w:cs="Arial"/>
          <w:lang w:val="en-US"/>
        </w:rPr>
        <w:t xml:space="preserve">Victoria’s </w:t>
      </w:r>
      <w:r>
        <w:rPr>
          <w:rFonts w:eastAsiaTheme="majorEastAsia" w:cs="Arial"/>
          <w:lang w:val="en-US"/>
        </w:rPr>
        <w:t xml:space="preserve">therapeutic courts and diversion options, including geographical limitations, eligibility, resourcing and capacity limitations, and service and workforce shortages. </w:t>
      </w:r>
    </w:p>
    <w:p w14:paraId="7490E393" w14:textId="19461863" w:rsidR="00D17621" w:rsidRDefault="00BB7A80" w:rsidP="00BB7A80">
      <w:pPr>
        <w:rPr>
          <w:rFonts w:eastAsiaTheme="majorEastAsia"/>
        </w:rPr>
      </w:pPr>
      <w:r>
        <w:t xml:space="preserve">Therapeutic courts </w:t>
      </w:r>
      <w:r w:rsidRPr="00EB7269">
        <w:t>should be accessible state</w:t>
      </w:r>
      <w:r w:rsidR="00882362">
        <w:t>-</w:t>
      </w:r>
      <w:r w:rsidRPr="00EB7269">
        <w:t>wide. Because of limited coverage across the state, the numbers of people who have access to ARC and the Drug Court remain relatively low.</w:t>
      </w:r>
      <w:r w:rsidRPr="00EB7269">
        <w:rPr>
          <w:rStyle w:val="FootnoteReference"/>
          <w:rFonts w:eastAsia="Arial"/>
          <w:szCs w:val="20"/>
        </w:rPr>
        <w:footnoteReference w:id="184"/>
      </w:r>
      <w:r w:rsidRPr="00EB7269">
        <w:t xml:space="preserve"> In some ARC locations </w:t>
      </w:r>
      <w:r w:rsidRPr="00020AA1">
        <w:rPr>
          <w:rFonts w:eastAsiaTheme="majorEastAsia"/>
        </w:rPr>
        <w:t xml:space="preserve">there are waiting </w:t>
      </w:r>
      <w:r w:rsidRPr="00EB7269">
        <w:t>lists</w:t>
      </w:r>
      <w:r w:rsidRPr="00020AA1">
        <w:rPr>
          <w:rFonts w:eastAsiaTheme="majorEastAsia"/>
        </w:rPr>
        <w:t xml:space="preserve"> for eligibility assessments and ongoing staffing shortages that can limit both access to ARC and the level and timing of support accessed. </w:t>
      </w:r>
    </w:p>
    <w:p w14:paraId="5121897F" w14:textId="6531D81D" w:rsidR="00BB7A80" w:rsidRDefault="00BB7A80" w:rsidP="00BB7A80">
      <w:pPr>
        <w:rPr>
          <w:rFonts w:eastAsiaTheme="majorEastAsia"/>
        </w:rPr>
      </w:pPr>
      <w:r>
        <w:rPr>
          <w:rFonts w:eastAsiaTheme="majorEastAsia"/>
        </w:rPr>
        <w:t xml:space="preserve">There is a significant shortage of clinicians and infrastructure in regional Victoria, which will need to be addressed </w:t>
      </w:r>
      <w:proofErr w:type="gramStart"/>
      <w:r>
        <w:rPr>
          <w:rFonts w:eastAsiaTheme="majorEastAsia"/>
        </w:rPr>
        <w:t>in order for</w:t>
      </w:r>
      <w:proofErr w:type="gramEnd"/>
      <w:r>
        <w:rPr>
          <w:rFonts w:eastAsiaTheme="majorEastAsia"/>
        </w:rPr>
        <w:t xml:space="preserve"> a therapeutic courts rollout to be realised</w:t>
      </w:r>
      <w:r w:rsidRPr="000012D5">
        <w:rPr>
          <w:rFonts w:eastAsiaTheme="majorEastAsia"/>
        </w:rPr>
        <w:t>.</w:t>
      </w:r>
      <w:r w:rsidR="00994AF0">
        <w:rPr>
          <w:rStyle w:val="FootnoteReference"/>
          <w:rFonts w:eastAsiaTheme="majorEastAsia"/>
        </w:rPr>
        <w:footnoteReference w:id="185"/>
      </w:r>
      <w:r w:rsidR="009E3C78">
        <w:rPr>
          <w:rFonts w:eastAsiaTheme="majorEastAsia"/>
        </w:rPr>
        <w:t xml:space="preserve"> </w:t>
      </w:r>
    </w:p>
    <w:p w14:paraId="6E28FE49" w14:textId="67723D34" w:rsidR="00065BE4" w:rsidRPr="00065BE4" w:rsidRDefault="00BB7A80" w:rsidP="00065BE4">
      <w:r>
        <w:t>We also support broadening therapeutic courts’ e</w:t>
      </w:r>
      <w:r w:rsidRPr="00F207E3">
        <w:t xml:space="preserve">ligibility </w:t>
      </w:r>
      <w:r>
        <w:t>criteria,</w:t>
      </w:r>
      <w:r w:rsidRPr="00F207E3">
        <w:t xml:space="preserve"> to give judicial officers greater discretion to determine </w:t>
      </w:r>
      <w:r>
        <w:t xml:space="preserve">appropriate </w:t>
      </w:r>
      <w:r w:rsidRPr="00F207E3">
        <w:t>participation.</w:t>
      </w:r>
      <w:r w:rsidR="003D76D3">
        <w:rPr>
          <w:rStyle w:val="FootnoteReference"/>
        </w:rPr>
        <w:footnoteReference w:id="186"/>
      </w:r>
      <w:r w:rsidRPr="00F207E3">
        <w:t xml:space="preserve"> </w:t>
      </w:r>
    </w:p>
    <w:p w14:paraId="1FDE0B23" w14:textId="6C539EB6" w:rsidR="00F77595" w:rsidRPr="00F77595" w:rsidRDefault="00F77595" w:rsidP="00BB7A80">
      <w:r>
        <w:t xml:space="preserve">While our vision is for </w:t>
      </w:r>
      <w:r w:rsidRPr="0033384D">
        <w:t>mainstream</w:t>
      </w:r>
      <w:r w:rsidRPr="00F207E3">
        <w:t xml:space="preserve"> </w:t>
      </w:r>
      <w:r>
        <w:t xml:space="preserve">courts to be therapeutically orientated, tailored and </w:t>
      </w:r>
      <w:r w:rsidRPr="00F207E3">
        <w:t>effective</w:t>
      </w:r>
      <w:r>
        <w:t>, w</w:t>
      </w:r>
      <w:r w:rsidRPr="00F207E3">
        <w:t xml:space="preserve">e </w:t>
      </w:r>
      <w:r>
        <w:t xml:space="preserve">cannot </w:t>
      </w:r>
      <w:r w:rsidRPr="00F207E3">
        <w:t xml:space="preserve">wait for a wholesale </w:t>
      </w:r>
      <w:r>
        <w:t>system redesign to roll out existing and highly effective programs like ARC and the Drug Court</w:t>
      </w:r>
      <w:r w:rsidRPr="00F207E3">
        <w:t xml:space="preserve">. </w:t>
      </w:r>
    </w:p>
    <w:p w14:paraId="38B0D971" w14:textId="62056658" w:rsidR="00EF532E" w:rsidRPr="001028B6" w:rsidRDefault="00695065" w:rsidP="00DB4E17">
      <w:pPr>
        <w:keepNext/>
        <w:shd w:val="clear" w:color="auto" w:fill="DEEAF6" w:themeFill="accent5" w:themeFillTint="33"/>
        <w:spacing w:after="0"/>
        <w:ind w:left="425"/>
      </w:pPr>
      <w:bookmarkStart w:id="3776" w:name="_Toc40355785"/>
      <w:bookmarkStart w:id="3777" w:name="_Toc41325432"/>
      <w:bookmarkStart w:id="3778" w:name="_Toc41332841"/>
      <w:bookmarkStart w:id="3779" w:name="_Toc41412019"/>
      <w:r w:rsidRPr="00B9060C">
        <w:rPr>
          <w:b/>
          <w:bCs/>
        </w:rPr>
        <w:lastRenderedPageBreak/>
        <w:t xml:space="preserve">Recommendation </w:t>
      </w:r>
      <w:r>
        <w:rPr>
          <w:b/>
          <w:bCs/>
        </w:rPr>
        <w:t>50:</w:t>
      </w:r>
      <w:r w:rsidR="000833C6">
        <w:rPr>
          <w:b/>
          <w:bCs/>
        </w:rPr>
        <w:tab/>
      </w:r>
      <w:r>
        <w:rPr>
          <w:b/>
          <w:bCs/>
        </w:rPr>
        <w:t xml:space="preserve"> </w:t>
      </w:r>
      <w:r w:rsidR="00EF532E" w:rsidRPr="00695065">
        <w:rPr>
          <w:b/>
          <w:bCs/>
        </w:rPr>
        <w:t xml:space="preserve">Expand </w:t>
      </w:r>
      <w:r w:rsidR="00BB7A80" w:rsidRPr="00695065">
        <w:rPr>
          <w:b/>
          <w:bCs/>
        </w:rPr>
        <w:t>t</w:t>
      </w:r>
      <w:r w:rsidR="00EF532E" w:rsidRPr="00695065">
        <w:rPr>
          <w:b/>
          <w:bCs/>
        </w:rPr>
        <w:t xml:space="preserve">herapeutic </w:t>
      </w:r>
      <w:r w:rsidR="00BB7A80" w:rsidRPr="00695065">
        <w:rPr>
          <w:b/>
          <w:bCs/>
        </w:rPr>
        <w:t>c</w:t>
      </w:r>
      <w:r w:rsidR="00EF532E" w:rsidRPr="00695065">
        <w:rPr>
          <w:b/>
          <w:bCs/>
        </w:rPr>
        <w:t>ourts</w:t>
      </w:r>
      <w:bookmarkEnd w:id="3776"/>
      <w:bookmarkEnd w:id="3777"/>
      <w:bookmarkEnd w:id="3778"/>
      <w:bookmarkEnd w:id="3779"/>
    </w:p>
    <w:p w14:paraId="7392878F" w14:textId="23498923" w:rsidR="00EF532E" w:rsidRPr="00695065" w:rsidRDefault="00BB7A80" w:rsidP="00DB4E17">
      <w:pPr>
        <w:shd w:val="clear" w:color="auto" w:fill="DEEAF6" w:themeFill="accent5" w:themeFillTint="33"/>
        <w:spacing w:before="120" w:line="276" w:lineRule="auto"/>
        <w:ind w:left="425"/>
      </w:pPr>
      <w:r w:rsidRPr="00695065">
        <w:t>The Victorian Government and the Magistrates’ Court should r</w:t>
      </w:r>
      <w:r w:rsidR="00EF532E" w:rsidRPr="00695065">
        <w:t>oll out state</w:t>
      </w:r>
      <w:r w:rsidR="002C0248" w:rsidRPr="00695065">
        <w:t>-</w:t>
      </w:r>
      <w:r w:rsidR="00EF532E" w:rsidRPr="00695065">
        <w:t>wide access to ARC and the Drug Court, and consider expanded eligibility criteria, acknowledging that the existing facilities and skills gaps which need to be</w:t>
      </w:r>
      <w:r w:rsidRPr="00695065">
        <w:t xml:space="preserve"> urgently</w:t>
      </w:r>
      <w:r w:rsidR="00EF532E" w:rsidRPr="00695065">
        <w:t xml:space="preserve"> addressed, particularly in regional Victoria. </w:t>
      </w:r>
    </w:p>
    <w:p w14:paraId="15C1FA88" w14:textId="283D2F92" w:rsidR="00EF532E" w:rsidRDefault="00917B67" w:rsidP="00AC258C">
      <w:pPr>
        <w:pStyle w:val="Heading3"/>
      </w:pPr>
      <w:bookmarkStart w:id="3780" w:name="_Toc40124938"/>
      <w:r>
        <w:t>Determining f</w:t>
      </w:r>
      <w:r w:rsidR="00EF532E" w:rsidRPr="00B245B7">
        <w:t xml:space="preserve">itness </w:t>
      </w:r>
      <w:r w:rsidR="00EF532E">
        <w:t xml:space="preserve">and mental impairment </w:t>
      </w:r>
      <w:r w:rsidR="00EF532E" w:rsidRPr="00B245B7">
        <w:t xml:space="preserve">in the </w:t>
      </w:r>
      <w:r w:rsidR="00EF532E">
        <w:t>summary jurisdiction</w:t>
      </w:r>
      <w:bookmarkEnd w:id="3780"/>
    </w:p>
    <w:p w14:paraId="4DB4DF9D" w14:textId="364E4440" w:rsidR="00EF532E" w:rsidRPr="003C5ECC" w:rsidRDefault="00EF532E" w:rsidP="00EF532E">
      <w:r w:rsidRPr="00F207E3">
        <w:t xml:space="preserve">The </w:t>
      </w:r>
      <w:r w:rsidRPr="00086C7A">
        <w:rPr>
          <w:i/>
          <w:iCs/>
        </w:rPr>
        <w:t>Crimes (Mental Impairment and Unfitness to be Tried) Act 1997</w:t>
      </w:r>
      <w:r w:rsidRPr="0027248A">
        <w:t xml:space="preserve"> </w:t>
      </w:r>
      <w:r>
        <w:t>(</w:t>
      </w:r>
      <w:r w:rsidRPr="00086C7A">
        <w:rPr>
          <w:b/>
          <w:bCs/>
        </w:rPr>
        <w:t>CMIA</w:t>
      </w:r>
      <w:r>
        <w:t>)</w:t>
      </w:r>
      <w:r w:rsidRPr="00F207E3">
        <w:t xml:space="preserve"> provides alternative </w:t>
      </w:r>
      <w:r>
        <w:t xml:space="preserve">processes for people who are not fit to be tried, and alternative outcomes for </w:t>
      </w:r>
      <w:r w:rsidRPr="00F207E3">
        <w:t>people whose offending was due to mental health issues or cognitive impairments</w:t>
      </w:r>
      <w:r>
        <w:t xml:space="preserve"> in </w:t>
      </w:r>
      <w:r w:rsidR="002A6C10">
        <w:t>the Children’s,</w:t>
      </w:r>
      <w:r>
        <w:t xml:space="preserve"> County and Supreme Courts.</w:t>
      </w:r>
      <w:r w:rsidR="00B80488">
        <w:rPr>
          <w:rStyle w:val="FootnoteReference"/>
        </w:rPr>
        <w:footnoteReference w:id="187"/>
      </w:r>
      <w:r w:rsidRPr="00F207E3">
        <w:t xml:space="preserve"> </w:t>
      </w:r>
    </w:p>
    <w:p w14:paraId="2034ED7B" w14:textId="6A518766" w:rsidR="00BB7A80" w:rsidRPr="00F207E3" w:rsidRDefault="002A6C10" w:rsidP="00BB7A80">
      <w:r>
        <w:t>T</w:t>
      </w:r>
      <w:r w:rsidR="00BB7A80" w:rsidRPr="00F207E3">
        <w:t xml:space="preserve">here is no power in the Magistrates' Court to determine an accused's fitness to be tried. </w:t>
      </w:r>
      <w:r w:rsidR="00BB7A80">
        <w:t>In practice, t</w:t>
      </w:r>
      <w:r w:rsidR="00BB7A80" w:rsidRPr="00F207E3">
        <w:t xml:space="preserve">his </w:t>
      </w:r>
      <w:r w:rsidR="00BB7A80">
        <w:t xml:space="preserve">has resulted in </w:t>
      </w:r>
      <w:proofErr w:type="gramStart"/>
      <w:r w:rsidR="00BB7A80">
        <w:t>a number of</w:t>
      </w:r>
      <w:proofErr w:type="gramEnd"/>
      <w:r w:rsidR="00BB7A80">
        <w:t xml:space="preserve"> </w:t>
      </w:r>
      <w:r w:rsidR="00BB7A80" w:rsidRPr="00F207E3">
        <w:t xml:space="preserve">challenges for the </w:t>
      </w:r>
      <w:r w:rsidR="00BB7A80">
        <w:t>summary jurisdiction</w:t>
      </w:r>
      <w:r w:rsidR="00BB7A80" w:rsidRPr="00711F1E">
        <w:t xml:space="preserve"> </w:t>
      </w:r>
      <w:r w:rsidR="00BB7A80">
        <w:t xml:space="preserve">and </w:t>
      </w:r>
      <w:r w:rsidR="00BB7A80" w:rsidRPr="00F207E3">
        <w:t xml:space="preserve">a range of consequences for clients </w:t>
      </w:r>
      <w:r w:rsidR="00BB7A80">
        <w:t>experiencing</w:t>
      </w:r>
      <w:r w:rsidR="00BB7A80" w:rsidRPr="00F207E3">
        <w:t xml:space="preserve"> mental health issues</w:t>
      </w:r>
      <w:r w:rsidR="00BB7A80">
        <w:t xml:space="preserve"> and/or cognitive disabilities, including</w:t>
      </w:r>
      <w:r w:rsidR="00BB7A80" w:rsidRPr="00F207E3">
        <w:t xml:space="preserve">: </w:t>
      </w:r>
    </w:p>
    <w:p w14:paraId="29875CA8" w14:textId="55BF93BA" w:rsidR="00BB7A80" w:rsidRPr="003C5ECC" w:rsidRDefault="00BB7A80" w:rsidP="00904F90">
      <w:pPr>
        <w:pStyle w:val="Listbulletcoloured"/>
      </w:pPr>
      <w:r w:rsidRPr="003C5ECC">
        <w:t>people enter</w:t>
      </w:r>
      <w:r>
        <w:t>ing</w:t>
      </w:r>
      <w:r w:rsidRPr="003C5ECC">
        <w:t xml:space="preserve"> the system who would likely be found to be unfit to be tried if there were a process available, but instead have little choice but to plead guilty to charges in the summary jurisdiction, resulting in extended time in custody;</w:t>
      </w:r>
    </w:p>
    <w:p w14:paraId="48FA62C3" w14:textId="219933D0" w:rsidR="00BB7A80" w:rsidRPr="003C5ECC" w:rsidRDefault="00BB7A80" w:rsidP="00904F90">
      <w:pPr>
        <w:pStyle w:val="Listbulletcoloured"/>
      </w:pPr>
      <w:r w:rsidRPr="003C5ECC">
        <w:t xml:space="preserve">people who are unfit to plead repeatedly returning to the Magistrates' Court on a series of low-level matters but not being able to have these matters dealt with by the court in a timely manner due to issues of fitness to be tried being uplifted to the County Court; </w:t>
      </w:r>
      <w:r>
        <w:t>and</w:t>
      </w:r>
    </w:p>
    <w:p w14:paraId="48ABA27D" w14:textId="291249B7" w:rsidR="00BB7A80" w:rsidRPr="00711F1E" w:rsidRDefault="00BB7A80" w:rsidP="00904F90">
      <w:pPr>
        <w:pStyle w:val="Listbulletcoloured"/>
      </w:pPr>
      <w:r w:rsidRPr="00DA7079">
        <w:rPr>
          <w:szCs w:val="28"/>
        </w:rPr>
        <w:t xml:space="preserve">a significant </w:t>
      </w:r>
      <w:r>
        <w:t>number of matters which could be dealt with efficiently and quickly in the summary jurisdiction instead uplifted to the expensive jury fitness hearing process in the County Court.</w:t>
      </w:r>
      <w:r w:rsidR="00150654">
        <w:rPr>
          <w:rStyle w:val="FootnoteReference"/>
        </w:rPr>
        <w:footnoteReference w:id="188"/>
      </w:r>
    </w:p>
    <w:p w14:paraId="1B4EEF80" w14:textId="6CBA775B" w:rsidR="00BB7A80" w:rsidRDefault="00BB7A80" w:rsidP="00BB7A80">
      <w:r>
        <w:t>The</w:t>
      </w:r>
      <w:r w:rsidRPr="00A50DDB">
        <w:t xml:space="preserve"> Magistrates’ Court </w:t>
      </w:r>
      <w:r>
        <w:t>should be able to</w:t>
      </w:r>
      <w:r w:rsidRPr="00A50DDB">
        <w:t xml:space="preserve"> </w:t>
      </w:r>
      <w:r>
        <w:t>determine</w:t>
      </w:r>
      <w:r w:rsidRPr="00A50DDB">
        <w:t xml:space="preserve"> fitness to </w:t>
      </w:r>
      <w:r>
        <w:t>plead or to participate</w:t>
      </w:r>
      <w:r w:rsidRPr="00A50DDB">
        <w:t xml:space="preserve"> in </w:t>
      </w:r>
      <w:r>
        <w:t>summary proceedings</w:t>
      </w:r>
      <w:r w:rsidR="002A7D2B" w:rsidRPr="002A7D2B">
        <w:t xml:space="preserve"> </w:t>
      </w:r>
      <w:r w:rsidR="002A7D2B">
        <w:t>and draw on the appropriate disposition options, which we discuss below</w:t>
      </w:r>
      <w:r>
        <w:t>.</w:t>
      </w:r>
      <w:r w:rsidR="003D76D3">
        <w:rPr>
          <w:rStyle w:val="FootnoteReference"/>
        </w:rPr>
        <w:footnoteReference w:id="189"/>
      </w:r>
      <w:r w:rsidR="002A7D2B">
        <w:t xml:space="preserve"> </w:t>
      </w:r>
    </w:p>
    <w:p w14:paraId="4237258C" w14:textId="088B17A6" w:rsidR="00EF532E" w:rsidRPr="00554841" w:rsidRDefault="00695065" w:rsidP="00293D08">
      <w:pPr>
        <w:shd w:val="clear" w:color="auto" w:fill="DEEAF6" w:themeFill="accent5" w:themeFillTint="33"/>
        <w:ind w:left="426"/>
      </w:pPr>
      <w:bookmarkStart w:id="3781" w:name="_Toc40355786"/>
      <w:bookmarkStart w:id="3782" w:name="_Toc41325433"/>
      <w:bookmarkStart w:id="3783" w:name="_Toc41332842"/>
      <w:bookmarkStart w:id="3784" w:name="_Toc41412020"/>
      <w:r w:rsidRPr="00B9060C">
        <w:rPr>
          <w:b/>
          <w:bCs/>
        </w:rPr>
        <w:t xml:space="preserve">Recommendation </w:t>
      </w:r>
      <w:r>
        <w:rPr>
          <w:b/>
          <w:bCs/>
        </w:rPr>
        <w:t>5</w:t>
      </w:r>
      <w:r w:rsidRPr="00B9060C">
        <w:rPr>
          <w:b/>
          <w:bCs/>
        </w:rPr>
        <w:t>1</w:t>
      </w:r>
      <w:r w:rsidRPr="00695065">
        <w:rPr>
          <w:b/>
          <w:bCs/>
        </w:rPr>
        <w:t>:</w:t>
      </w:r>
      <w:r w:rsidR="000833C6">
        <w:rPr>
          <w:b/>
          <w:bCs/>
        </w:rPr>
        <w:tab/>
      </w:r>
      <w:r w:rsidRPr="00695065">
        <w:rPr>
          <w:b/>
          <w:bCs/>
        </w:rPr>
        <w:t xml:space="preserve"> </w:t>
      </w:r>
      <w:r w:rsidR="005C2C8F" w:rsidRPr="00695065">
        <w:rPr>
          <w:b/>
          <w:bCs/>
        </w:rPr>
        <w:t>Enable</w:t>
      </w:r>
      <w:r w:rsidR="007B64F8" w:rsidRPr="00695065">
        <w:rPr>
          <w:b/>
          <w:bCs/>
        </w:rPr>
        <w:t xml:space="preserve"> f</w:t>
      </w:r>
      <w:r w:rsidR="00F62178" w:rsidRPr="00695065">
        <w:rPr>
          <w:b/>
          <w:bCs/>
        </w:rPr>
        <w:t>itness</w:t>
      </w:r>
      <w:r w:rsidR="00EF532E" w:rsidRPr="00695065">
        <w:rPr>
          <w:b/>
          <w:bCs/>
        </w:rPr>
        <w:t xml:space="preserve"> </w:t>
      </w:r>
      <w:r w:rsidR="004A67B9" w:rsidRPr="00695065">
        <w:rPr>
          <w:b/>
          <w:bCs/>
        </w:rPr>
        <w:t>determinations</w:t>
      </w:r>
      <w:r w:rsidR="00EF532E" w:rsidRPr="00695065">
        <w:rPr>
          <w:b/>
          <w:bCs/>
        </w:rPr>
        <w:t xml:space="preserve"> in the Magistrates’ Court</w:t>
      </w:r>
      <w:bookmarkEnd w:id="3781"/>
      <w:r w:rsidR="007B64F8" w:rsidRPr="001028B6">
        <w:t xml:space="preserve"> </w:t>
      </w:r>
      <w:bookmarkEnd w:id="3782"/>
      <w:bookmarkEnd w:id="3783"/>
      <w:bookmarkEnd w:id="3784"/>
    </w:p>
    <w:p w14:paraId="24838EC8" w14:textId="46BBD404" w:rsidR="00EF532E" w:rsidRPr="00293D08" w:rsidRDefault="00BB7A80" w:rsidP="00293D08">
      <w:pPr>
        <w:shd w:val="clear" w:color="auto" w:fill="DEEAF6" w:themeFill="accent5" w:themeFillTint="33"/>
        <w:ind w:left="426"/>
      </w:pPr>
      <w:r w:rsidRPr="00695065">
        <w:t xml:space="preserve">The Victorian Government </w:t>
      </w:r>
      <w:r w:rsidRPr="00293D08">
        <w:t>and the Magistrates’ Court should develop a mechanism for assessing and determining fitness to plead or participate in proceedings in the summary jurisdiction</w:t>
      </w:r>
      <w:r w:rsidR="00F56FE1" w:rsidRPr="00293D08">
        <w:t>.</w:t>
      </w:r>
    </w:p>
    <w:p w14:paraId="12E397F2" w14:textId="382AEF38" w:rsidR="00EF532E" w:rsidRPr="00F207E3" w:rsidRDefault="00EF532E" w:rsidP="00EF532E">
      <w:r>
        <w:t>T</w:t>
      </w:r>
      <w:r w:rsidRPr="00F207E3">
        <w:t>he defence of mental impairment is available in the Magistrates' Court</w:t>
      </w:r>
      <w:r w:rsidR="00BB7A80">
        <w:t>. H</w:t>
      </w:r>
      <w:r>
        <w:t>owever</w:t>
      </w:r>
      <w:r w:rsidR="00BB7A80">
        <w:t>,</w:t>
      </w:r>
      <w:r>
        <w:t xml:space="preserve"> </w:t>
      </w:r>
      <w:r w:rsidRPr="00F207E3">
        <w:t xml:space="preserve">a complete discharge </w:t>
      </w:r>
      <w:r>
        <w:t xml:space="preserve">is </w:t>
      </w:r>
      <w:r w:rsidRPr="00F207E3">
        <w:t xml:space="preserve">the only outcome available </w:t>
      </w:r>
      <w:r>
        <w:t xml:space="preserve">for </w:t>
      </w:r>
      <w:r w:rsidRPr="00F207E3">
        <w:t xml:space="preserve">a </w:t>
      </w:r>
      <w:r>
        <w:t xml:space="preserve">finding of </w:t>
      </w:r>
      <w:r w:rsidRPr="00F207E3">
        <w:t>not guilty on the grounds on mental impairment</w:t>
      </w:r>
      <w:r>
        <w:t xml:space="preserve">. In practice, this has </w:t>
      </w:r>
      <w:proofErr w:type="gramStart"/>
      <w:r>
        <w:t>a number of</w:t>
      </w:r>
      <w:proofErr w:type="gramEnd"/>
      <w:r>
        <w:t xml:space="preserve"> negative impacts on people whose offending is due their mental impairment:</w:t>
      </w:r>
    </w:p>
    <w:p w14:paraId="4048E413" w14:textId="78DE4DFB" w:rsidR="00EF532E" w:rsidRPr="003C5ECC" w:rsidRDefault="00EF532E" w:rsidP="00904F90">
      <w:pPr>
        <w:pStyle w:val="Listbulletcoloured"/>
      </w:pPr>
      <w:r w:rsidRPr="003C5ECC">
        <w:lastRenderedPageBreak/>
        <w:t xml:space="preserve">prosecutors </w:t>
      </w:r>
      <w:r>
        <w:t xml:space="preserve">may </w:t>
      </w:r>
      <w:r w:rsidRPr="003C5ECC">
        <w:t xml:space="preserve">oppose summary jurisdiction for indictable offences triable summarily where </w:t>
      </w:r>
      <w:r w:rsidR="00477E78">
        <w:t>the</w:t>
      </w:r>
      <w:r w:rsidRPr="003C5ECC">
        <w:t xml:space="preserve"> defence of mental impairment is raised; </w:t>
      </w:r>
    </w:p>
    <w:p w14:paraId="4762797B" w14:textId="03628694" w:rsidR="00EF532E" w:rsidRPr="003C5ECC" w:rsidRDefault="00EF532E" w:rsidP="00904F90">
      <w:pPr>
        <w:pStyle w:val="Listbulletcoloured"/>
      </w:pPr>
      <w:r w:rsidRPr="003C5ECC">
        <w:t xml:space="preserve">because the only disposition available in the Magistrates’ Court is discharge, prosecutors </w:t>
      </w:r>
      <w:r>
        <w:t>may</w:t>
      </w:r>
      <w:r w:rsidRPr="003C5ECC">
        <w:t xml:space="preserve"> </w:t>
      </w:r>
      <w:r w:rsidR="009527D0">
        <w:t>vigorously contest</w:t>
      </w:r>
      <w:r w:rsidR="009527D0" w:rsidRPr="003C5ECC">
        <w:t xml:space="preserve"> </w:t>
      </w:r>
      <w:r w:rsidRPr="003C5ECC">
        <w:t>the mental impairment defence even where evidence clearly demonstrates mental impairment</w:t>
      </w:r>
      <w:r>
        <w:t>;</w:t>
      </w:r>
      <w:r w:rsidR="00BB7A80">
        <w:t xml:space="preserve"> and</w:t>
      </w:r>
    </w:p>
    <w:p w14:paraId="27DB2F96" w14:textId="310F5CDC" w:rsidR="00EF532E" w:rsidRDefault="00EF532E" w:rsidP="00904F90">
      <w:pPr>
        <w:pStyle w:val="Listbulletcoloured"/>
      </w:pPr>
      <w:r w:rsidRPr="003C5ECC">
        <w:t>police</w:t>
      </w:r>
      <w:r w:rsidR="00E564FA">
        <w:t xml:space="preserve"> may</w:t>
      </w:r>
      <w:r w:rsidRPr="003C5ECC">
        <w:t xml:space="preserve"> </w:t>
      </w:r>
      <w:r w:rsidR="00491681">
        <w:t>recommend</w:t>
      </w:r>
      <w:r w:rsidR="00491681" w:rsidRPr="003C5ECC">
        <w:t xml:space="preserve"> </w:t>
      </w:r>
      <w:r w:rsidRPr="003C5ECC">
        <w:t>diversion for minor summary matters where a defence of mental impairment, and discharge, are available</w:t>
      </w:r>
      <w:r>
        <w:t>.</w:t>
      </w:r>
    </w:p>
    <w:p w14:paraId="356A2F87" w14:textId="3F193FB8" w:rsidR="00401670" w:rsidRDefault="00401670" w:rsidP="00401670">
      <w:r>
        <w:t>We make recommendations</w:t>
      </w:r>
      <w:r w:rsidR="00CD2102">
        <w:t xml:space="preserve"> below</w:t>
      </w:r>
      <w:r>
        <w:t xml:space="preserve"> for an increase range of dispositions in the summary jurisdiction which would also be available to people found unfit or not guilty due to mental impairment.  </w:t>
      </w:r>
    </w:p>
    <w:p w14:paraId="68BF8F1B" w14:textId="3130E083" w:rsidR="00EF532E" w:rsidRDefault="000E74FC" w:rsidP="00E630C0">
      <w:pPr>
        <w:pStyle w:val="Heading3"/>
      </w:pPr>
      <w:bookmarkStart w:id="3785" w:name="_Toc40124939"/>
      <w:r>
        <w:t xml:space="preserve">Expanding </w:t>
      </w:r>
      <w:r w:rsidR="00EF532E">
        <w:t>the range of outcomes in the Magistrates’ Court</w:t>
      </w:r>
      <w:bookmarkEnd w:id="3785"/>
    </w:p>
    <w:p w14:paraId="5B8FBE00" w14:textId="51A3228C" w:rsidR="00622538" w:rsidRDefault="00EF532E" w:rsidP="00A77F91">
      <w:pPr>
        <w:rPr>
          <w:rFonts w:cs="Arial"/>
        </w:rPr>
      </w:pPr>
      <w:r>
        <w:t>T</w:t>
      </w:r>
      <w:r w:rsidRPr="00C10C90">
        <w:t>he Magistrates’ Court</w:t>
      </w:r>
      <w:r>
        <w:t xml:space="preserve"> should have a range of dispositions available - from flexible, light-touch dispositions, to intensive supervisory dispositions for findings of mental impairment and unfitness. </w:t>
      </w:r>
      <w:r w:rsidR="007D24B6">
        <w:t>A</w:t>
      </w:r>
      <w:r w:rsidR="00622538">
        <w:t xml:space="preserve"> clear </w:t>
      </w:r>
      <w:r w:rsidR="000F7B5F">
        <w:t xml:space="preserve">pathway for referring criminal matters to the civil jurisdiction, </w:t>
      </w:r>
      <w:r w:rsidR="00EA5152">
        <w:t>by e</w:t>
      </w:r>
      <w:r w:rsidR="00D532DC">
        <w:rPr>
          <w:rFonts w:cs="Arial"/>
        </w:rPr>
        <w:t>nabling the court to consider or impose civil orders in lieu of criminal dispositions</w:t>
      </w:r>
      <w:r w:rsidR="007D24B6">
        <w:rPr>
          <w:rFonts w:cs="Arial"/>
        </w:rPr>
        <w:t>, could</w:t>
      </w:r>
      <w:r w:rsidR="00622538">
        <w:rPr>
          <w:rFonts w:cs="Arial"/>
        </w:rPr>
        <w:t xml:space="preserve"> </w:t>
      </w:r>
      <w:r w:rsidR="00D532DC">
        <w:rPr>
          <w:rFonts w:cs="Arial"/>
        </w:rPr>
        <w:t>provide less restrictive but effective alternative</w:t>
      </w:r>
      <w:r w:rsidR="00622538">
        <w:rPr>
          <w:rFonts w:cs="Arial"/>
        </w:rPr>
        <w:t>s</w:t>
      </w:r>
      <w:r w:rsidR="00D532DC">
        <w:rPr>
          <w:rFonts w:cs="Arial"/>
        </w:rPr>
        <w:t xml:space="preserve"> for managing risk</w:t>
      </w:r>
      <w:r w:rsidR="00A77F91">
        <w:rPr>
          <w:rFonts w:cs="Arial"/>
        </w:rPr>
        <w:t xml:space="preserve"> and </w:t>
      </w:r>
      <w:r w:rsidR="00D532DC">
        <w:rPr>
          <w:rFonts w:cs="Arial"/>
        </w:rPr>
        <w:t>facilitat</w:t>
      </w:r>
      <w:r w:rsidR="00A77F91">
        <w:rPr>
          <w:rFonts w:cs="Arial"/>
        </w:rPr>
        <w:t>ing</w:t>
      </w:r>
      <w:r w:rsidR="00D532DC">
        <w:rPr>
          <w:rFonts w:cs="Arial"/>
        </w:rPr>
        <w:t xml:space="preserve"> treatment and recovery</w:t>
      </w:r>
      <w:r w:rsidR="00A77F91">
        <w:rPr>
          <w:rFonts w:cs="Arial"/>
        </w:rPr>
        <w:t xml:space="preserve">. It would also </w:t>
      </w:r>
      <w:r w:rsidR="00D532DC">
        <w:rPr>
          <w:rFonts w:cs="Arial"/>
        </w:rPr>
        <w:t>reduce further criminal justice system contact and allow for monitoring in a more cost-efficient system.</w:t>
      </w:r>
      <w:r w:rsidR="00A77F91">
        <w:rPr>
          <w:rFonts w:cs="Arial"/>
        </w:rPr>
        <w:t xml:space="preserve"> </w:t>
      </w:r>
    </w:p>
    <w:p w14:paraId="7C093192" w14:textId="31A72C1E" w:rsidR="00022E73" w:rsidRDefault="00A77F91" w:rsidP="00EF532E">
      <w:r>
        <w:rPr>
          <w:rFonts w:cs="Arial"/>
        </w:rPr>
        <w:t>In Victoria</w:t>
      </w:r>
      <w:r w:rsidR="002C0248">
        <w:rPr>
          <w:rFonts w:cs="Arial"/>
        </w:rPr>
        <w:t>,</w:t>
      </w:r>
      <w:r>
        <w:rPr>
          <w:rFonts w:cs="Arial"/>
        </w:rPr>
        <w:t xml:space="preserve"> t</w:t>
      </w:r>
      <w:r w:rsidR="00D532DC">
        <w:t xml:space="preserve">here is no formal transition </w:t>
      </w:r>
      <w:r w:rsidR="007D24B6">
        <w:t>mechanism</w:t>
      </w:r>
      <w:r w:rsidR="00D532DC">
        <w:t xml:space="preserve"> </w:t>
      </w:r>
      <w:r>
        <w:t xml:space="preserve">from </w:t>
      </w:r>
      <w:r w:rsidR="00D532DC">
        <w:t xml:space="preserve">the </w:t>
      </w:r>
      <w:r>
        <w:t xml:space="preserve">criminal system </w:t>
      </w:r>
      <w:r w:rsidR="00D532DC">
        <w:t>to civil orders under the Mental Health Act</w:t>
      </w:r>
      <w:r w:rsidR="007D24B6">
        <w:t xml:space="preserve">, or continuity between the </w:t>
      </w:r>
      <w:r w:rsidR="001E1370">
        <w:t>criminal and civil legislative frameworks</w:t>
      </w:r>
      <w:r w:rsidR="009D5559">
        <w:t>, beyond Court Assessment Orders</w:t>
      </w:r>
      <w:r w:rsidR="00D532DC">
        <w:t>.</w:t>
      </w:r>
      <w:r w:rsidR="00872857">
        <w:rPr>
          <w:rStyle w:val="FootnoteReference"/>
        </w:rPr>
        <w:footnoteReference w:id="190"/>
      </w:r>
      <w:r w:rsidR="00D532DC">
        <w:t xml:space="preserve"> </w:t>
      </w:r>
      <w:r>
        <w:t xml:space="preserve">Our </w:t>
      </w:r>
      <w:r w:rsidR="00622538">
        <w:t>lawyers</w:t>
      </w:r>
      <w:r>
        <w:t xml:space="preserve"> report that</w:t>
      </w:r>
      <w:r w:rsidR="00D532DC">
        <w:t xml:space="preserve"> ARC </w:t>
      </w:r>
      <w:r w:rsidR="002C0248">
        <w:t>m</w:t>
      </w:r>
      <w:r w:rsidR="00D532DC">
        <w:t xml:space="preserve">agistrates sometimes dismiss charges </w:t>
      </w:r>
      <w:r w:rsidR="000D7CAF">
        <w:t>on</w:t>
      </w:r>
      <w:r w:rsidR="00D532DC">
        <w:t xml:space="preserve"> the </w:t>
      </w:r>
      <w:r w:rsidR="000D7CAF">
        <w:t xml:space="preserve">basis that a </w:t>
      </w:r>
      <w:r w:rsidR="00D070E7">
        <w:t>person is being supported in</w:t>
      </w:r>
      <w:r w:rsidR="00D532DC">
        <w:t xml:space="preserve"> the civil system, however this does not occur </w:t>
      </w:r>
      <w:r w:rsidR="00A50D90">
        <w:t xml:space="preserve">systematically or </w:t>
      </w:r>
      <w:r w:rsidR="00D532DC">
        <w:t xml:space="preserve">in the mainstream system. </w:t>
      </w:r>
    </w:p>
    <w:p w14:paraId="469DED00" w14:textId="0D3EFC52" w:rsidR="00E625D1" w:rsidRDefault="00D70E97" w:rsidP="00EF532E">
      <w:r>
        <w:t>N</w:t>
      </w:r>
      <w:r w:rsidR="00622538">
        <w:t xml:space="preserve">SW </w:t>
      </w:r>
      <w:r>
        <w:t xml:space="preserve">provides an explicit statutory framework </w:t>
      </w:r>
      <w:r w:rsidR="00EE5390">
        <w:t>for</w:t>
      </w:r>
      <w:r>
        <w:t xml:space="preserve"> </w:t>
      </w:r>
      <w:r w:rsidR="005E69FB">
        <w:t xml:space="preserve">the transfer of </w:t>
      </w:r>
      <w:r w:rsidR="00D532DC">
        <w:t xml:space="preserve">people who are experiencing mental </w:t>
      </w:r>
      <w:r w:rsidR="009A1CE8">
        <w:t>health issues</w:t>
      </w:r>
      <w:r w:rsidR="00D532DC">
        <w:t xml:space="preserve"> or were at the time of the alleged commission of the offence</w:t>
      </w:r>
      <w:r w:rsidR="005E69FB">
        <w:t xml:space="preserve"> from the criminal system to the civil system</w:t>
      </w:r>
      <w:r w:rsidR="00D532DC">
        <w:t>.</w:t>
      </w:r>
      <w:r w:rsidR="00B0481F">
        <w:rPr>
          <w:rStyle w:val="FootnoteReference"/>
        </w:rPr>
        <w:footnoteReference w:id="191"/>
      </w:r>
      <w:r w:rsidR="00E13809">
        <w:t xml:space="preserve"> </w:t>
      </w:r>
      <w:r w:rsidR="0051775D" w:rsidRPr="097EF44A">
        <w:rPr>
          <w:color w:val="000000" w:themeColor="text1"/>
          <w:lang w:eastAsia="en-AU"/>
        </w:rPr>
        <w:t xml:space="preserve">NSW </w:t>
      </w:r>
      <w:r w:rsidR="007D24B6" w:rsidRPr="097EF44A">
        <w:rPr>
          <w:color w:val="000000" w:themeColor="text1"/>
          <w:lang w:eastAsia="en-AU"/>
        </w:rPr>
        <w:t>m</w:t>
      </w:r>
      <w:r w:rsidR="00D532DC" w:rsidRPr="097EF44A">
        <w:rPr>
          <w:color w:val="000000" w:themeColor="text1"/>
          <w:lang w:eastAsia="en-AU"/>
        </w:rPr>
        <w:t>agistrate</w:t>
      </w:r>
      <w:r w:rsidR="0051775D" w:rsidRPr="097EF44A">
        <w:rPr>
          <w:color w:val="000000" w:themeColor="text1"/>
          <w:lang w:eastAsia="en-AU"/>
        </w:rPr>
        <w:t>s</w:t>
      </w:r>
      <w:r w:rsidR="00D532DC" w:rsidRPr="097EF44A">
        <w:rPr>
          <w:color w:val="000000" w:themeColor="text1"/>
          <w:lang w:eastAsia="en-AU"/>
        </w:rPr>
        <w:t xml:space="preserve"> may </w:t>
      </w:r>
      <w:r w:rsidR="006076B5" w:rsidRPr="097EF44A">
        <w:rPr>
          <w:color w:val="000000" w:themeColor="text1"/>
          <w:lang w:eastAsia="en-AU"/>
        </w:rPr>
        <w:t xml:space="preserve">finalise criminal matters with </w:t>
      </w:r>
      <w:r w:rsidR="00D532DC">
        <w:rPr>
          <w:lang w:eastAsia="en-AU"/>
        </w:rPr>
        <w:t xml:space="preserve">a </w:t>
      </w:r>
      <w:r w:rsidR="009D4A2A">
        <w:rPr>
          <w:lang w:eastAsia="en-AU"/>
        </w:rPr>
        <w:t>civil</w:t>
      </w:r>
      <w:r w:rsidR="005E09FA">
        <w:rPr>
          <w:lang w:eastAsia="en-AU"/>
        </w:rPr>
        <w:t xml:space="preserve"> order,</w:t>
      </w:r>
      <w:r w:rsidR="009D4A2A">
        <w:rPr>
          <w:rStyle w:val="FootnoteReference"/>
          <w:lang w:eastAsia="en-AU"/>
        </w:rPr>
        <w:footnoteReference w:id="192"/>
      </w:r>
      <w:r w:rsidR="00D532DC">
        <w:rPr>
          <w:lang w:eastAsia="en-AU"/>
        </w:rPr>
        <w:t xml:space="preserve"> </w:t>
      </w:r>
      <w:r w:rsidR="005E09FA">
        <w:rPr>
          <w:lang w:eastAsia="en-AU"/>
        </w:rPr>
        <w:t xml:space="preserve">and </w:t>
      </w:r>
      <w:r w:rsidR="00D532DC">
        <w:rPr>
          <w:lang w:eastAsia="en-AU"/>
        </w:rPr>
        <w:t>the charge</w:t>
      </w:r>
      <w:r w:rsidR="005E09FA">
        <w:rPr>
          <w:lang w:eastAsia="en-AU"/>
        </w:rPr>
        <w:t xml:space="preserve"> </w:t>
      </w:r>
      <w:r w:rsidR="00D532DC">
        <w:rPr>
          <w:lang w:eastAsia="en-AU"/>
        </w:rPr>
        <w:t xml:space="preserve">is to be taken to have been </w:t>
      </w:r>
      <w:r w:rsidR="00D532DC" w:rsidRPr="00746B52">
        <w:rPr>
          <w:lang w:eastAsia="en-AU"/>
        </w:rPr>
        <w:t>dismissed after 6 months</w:t>
      </w:r>
      <w:r w:rsidR="00D532DC">
        <w:rPr>
          <w:i/>
          <w:iCs/>
          <w:lang w:eastAsia="en-AU"/>
        </w:rPr>
        <w:t>,</w:t>
      </w:r>
      <w:r w:rsidR="00D532DC">
        <w:rPr>
          <w:lang w:eastAsia="en-AU"/>
        </w:rPr>
        <w:t xml:space="preserve"> unless the defendant is brought before a magistrate within that period.</w:t>
      </w:r>
      <w:r w:rsidR="00746B52">
        <w:rPr>
          <w:rStyle w:val="FootnoteReference"/>
          <w:lang w:eastAsia="en-AU"/>
        </w:rPr>
        <w:footnoteReference w:id="193"/>
      </w:r>
      <w:r w:rsidR="002A401F" w:rsidRPr="002A401F">
        <w:t xml:space="preserve"> </w:t>
      </w:r>
      <w:r w:rsidR="002A401F">
        <w:t xml:space="preserve">We </w:t>
      </w:r>
      <w:r w:rsidR="009268D2">
        <w:t>emphasise</w:t>
      </w:r>
      <w:r w:rsidR="002A401F">
        <w:t xml:space="preserve"> </w:t>
      </w:r>
      <w:r w:rsidR="002A401F" w:rsidRPr="00E630C0">
        <w:t xml:space="preserve">that to be effective there must be </w:t>
      </w:r>
      <w:r w:rsidR="002A401F" w:rsidRPr="00B05B27">
        <w:t>an assessment from an appropriately qualified person that</w:t>
      </w:r>
      <w:r w:rsidR="00D532DC" w:rsidRPr="00B05B27">
        <w:t xml:space="preserve"> the defendant </w:t>
      </w:r>
      <w:r w:rsidR="002A401F" w:rsidRPr="00B05B27">
        <w:t>meets criteria for the order, sufficient resources for these assessments</w:t>
      </w:r>
      <w:r w:rsidR="00C847B5" w:rsidRPr="00B05B27">
        <w:t xml:space="preserve">, and resources for the civil system to </w:t>
      </w:r>
      <w:r w:rsidR="00881172" w:rsidRPr="00B05B27">
        <w:t xml:space="preserve">admit, treat and discharge </w:t>
      </w:r>
      <w:r w:rsidR="00C331B5" w:rsidRPr="00B05B27">
        <w:t>those patients</w:t>
      </w:r>
      <w:r w:rsidR="002A401F" w:rsidRPr="00B05B27">
        <w:t>.</w:t>
      </w:r>
      <w:r w:rsidR="0040387C">
        <w:rPr>
          <w:rStyle w:val="FootnoteReference"/>
        </w:rPr>
        <w:footnoteReference w:id="194"/>
      </w:r>
    </w:p>
    <w:p w14:paraId="51B0D0CA" w14:textId="6E6C8B2E" w:rsidR="00EF532E" w:rsidRPr="00FA06B6" w:rsidRDefault="009268D2" w:rsidP="00EF532E">
      <w:r>
        <w:t>We p</w:t>
      </w:r>
      <w:r w:rsidR="00BB7A80">
        <w:t>ropose</w:t>
      </w:r>
      <w:r>
        <w:t xml:space="preserve"> the following</w:t>
      </w:r>
      <w:r w:rsidR="00BB7A80">
        <w:t xml:space="preserve"> </w:t>
      </w:r>
      <w:r>
        <w:t xml:space="preserve">expanded range of </w:t>
      </w:r>
      <w:r w:rsidR="00BB7A80">
        <w:t>dispositions</w:t>
      </w:r>
      <w:r>
        <w:t>,</w:t>
      </w:r>
      <w:r w:rsidR="00BB7A80">
        <w:t xml:space="preserve"> which should be available to all magistrates:</w:t>
      </w:r>
    </w:p>
    <w:p w14:paraId="287E88E7" w14:textId="3FB98308" w:rsidR="00D45F97" w:rsidRPr="00FA06B6" w:rsidRDefault="00EF532E" w:rsidP="00904F90">
      <w:pPr>
        <w:pStyle w:val="Listbulletcoloured"/>
      </w:pPr>
      <w:r w:rsidRPr="00FA06B6">
        <w:lastRenderedPageBreak/>
        <w:t>Dismis</w:t>
      </w:r>
      <w:r>
        <w:t>s of</w:t>
      </w:r>
      <w:r w:rsidRPr="00FA06B6">
        <w:t xml:space="preserve"> </w:t>
      </w:r>
      <w:r>
        <w:t xml:space="preserve">some or all of the </w:t>
      </w:r>
      <w:r w:rsidRPr="00FA06B6">
        <w:t>charges</w:t>
      </w:r>
      <w:r>
        <w:t xml:space="preserve"> </w:t>
      </w:r>
      <w:r w:rsidR="00E23F52">
        <w:t>and</w:t>
      </w:r>
      <w:r w:rsidR="002C0248">
        <w:t xml:space="preserve"> </w:t>
      </w:r>
      <w:r w:rsidR="00E23F52">
        <w:t>discharge the defendant unconditionally</w:t>
      </w:r>
      <w:r>
        <w:t xml:space="preserve"> (as currently available)</w:t>
      </w:r>
      <w:r w:rsidR="00240099">
        <w:t>;</w:t>
      </w:r>
      <w:r w:rsidR="00E23F52">
        <w:t xml:space="preserve"> discharge the defendant into the care of a responsible person, unconditionally or subject to conditions</w:t>
      </w:r>
      <w:r w:rsidR="00240099">
        <w:t>;</w:t>
      </w:r>
      <w:r w:rsidR="00E23F52">
        <w:t xml:space="preserve"> discharge the defendant on the condition that the defendant attend for assessment or treatment</w:t>
      </w:r>
      <w:r w:rsidR="006A0F33">
        <w:t xml:space="preserve"> at an appropriate facility</w:t>
      </w:r>
      <w:r w:rsidR="001B5364">
        <w:t>.</w:t>
      </w:r>
    </w:p>
    <w:p w14:paraId="3DB16FE6" w14:textId="4989125F" w:rsidR="00EF532E" w:rsidRPr="00FA06B6" w:rsidRDefault="00EF532E" w:rsidP="00904F90">
      <w:pPr>
        <w:pStyle w:val="Listbulletcoloured"/>
      </w:pPr>
      <w:r>
        <w:t>R</w:t>
      </w:r>
      <w:r w:rsidRPr="00FA06B6">
        <w:t>efer</w:t>
      </w:r>
      <w:r>
        <w:t xml:space="preserve"> </w:t>
      </w:r>
      <w:r w:rsidR="00AC310F">
        <w:t xml:space="preserve">to the civil system, with explicit provision for the dismissal of the criminal charges either at the time of </w:t>
      </w:r>
      <w:r w:rsidR="00AC310F" w:rsidRPr="002A401F">
        <w:t xml:space="preserve">referral or after </w:t>
      </w:r>
      <w:r w:rsidR="00AC310F">
        <w:t>six</w:t>
      </w:r>
      <w:r w:rsidR="00AC310F" w:rsidRPr="002A401F">
        <w:t xml:space="preserve"> months</w:t>
      </w:r>
      <w:r w:rsidR="00AC310F">
        <w:t xml:space="preserve"> (following </w:t>
      </w:r>
      <w:r>
        <w:t>an</w:t>
      </w:r>
      <w:r w:rsidRPr="00FA06B6">
        <w:t xml:space="preserve"> assessment for suitability to be treated under the civil system</w:t>
      </w:r>
      <w:r w:rsidR="00BB7A80">
        <w:t xml:space="preserve"> </w:t>
      </w:r>
      <w:r w:rsidR="00DF751E">
        <w:t xml:space="preserve">on either a voluntary or compulsory basis </w:t>
      </w:r>
      <w:r w:rsidR="00BB7A80">
        <w:t xml:space="preserve">(e.g. </w:t>
      </w:r>
      <w:r w:rsidRPr="00FA06B6">
        <w:t xml:space="preserve"> </w:t>
      </w:r>
      <w:r w:rsidR="00324D47">
        <w:t>mental health clinician</w:t>
      </w:r>
      <w:r w:rsidR="00324D47" w:rsidRPr="00FA06B6">
        <w:t xml:space="preserve"> </w:t>
      </w:r>
      <w:r w:rsidRPr="00FA06B6">
        <w:t xml:space="preserve">or local </w:t>
      </w:r>
      <w:r w:rsidR="00496A9E">
        <w:t>designated</w:t>
      </w:r>
      <w:r w:rsidRPr="00FA06B6">
        <w:t xml:space="preserve"> mental health service for assessment as to suitability for treatment and services under the Mental Health Act</w:t>
      </w:r>
      <w:r w:rsidR="00BB7A80">
        <w:t>)</w:t>
      </w:r>
      <w:r w:rsidR="00AC3111">
        <w:t>.</w:t>
      </w:r>
      <w:r w:rsidR="00AC310F">
        <w:t xml:space="preserve"> </w:t>
      </w:r>
    </w:p>
    <w:p w14:paraId="5B1E8E10" w14:textId="4AE493DC" w:rsidR="00EF532E" w:rsidRDefault="00EF532E" w:rsidP="00904F90">
      <w:pPr>
        <w:pStyle w:val="Listbulletcoloured"/>
      </w:pPr>
      <w:r>
        <w:t>D</w:t>
      </w:r>
      <w:r w:rsidRPr="00FA06B6">
        <w:t>efer sentenc</w:t>
      </w:r>
      <w:r w:rsidR="002C0248">
        <w:t>ing</w:t>
      </w:r>
      <w:r>
        <w:t xml:space="preserve"> and refer the person to an integrated case management program, </w:t>
      </w:r>
      <w:r w:rsidR="00BB7A80">
        <w:t xml:space="preserve">a therapeutic court or specialist list, or </w:t>
      </w:r>
      <w:r>
        <w:t xml:space="preserve">restorative justice programs, with a view to dismissing the charges if conditions are </w:t>
      </w:r>
      <w:r w:rsidR="00BB7A80">
        <w:t>met</w:t>
      </w:r>
      <w:r w:rsidR="00AC3111">
        <w:t>.</w:t>
      </w:r>
    </w:p>
    <w:p w14:paraId="5CDB7D24" w14:textId="4BDCADDB" w:rsidR="00AC3111" w:rsidRDefault="00EF532E" w:rsidP="00904F90">
      <w:pPr>
        <w:pStyle w:val="Listbulletcoloured"/>
      </w:pPr>
      <w:r>
        <w:t>Make a ‘Rehabilitation Order’</w:t>
      </w:r>
      <w:r w:rsidR="00BB7A80">
        <w:t xml:space="preserve"> </w:t>
      </w:r>
      <w:r>
        <w:t>to fill the gap between a fine and a CCO</w:t>
      </w:r>
      <w:r w:rsidR="00BB7A80">
        <w:t xml:space="preserve">, </w:t>
      </w:r>
      <w:r>
        <w:t xml:space="preserve">focused on rehabilitation </w:t>
      </w:r>
      <w:r w:rsidR="00BB7A80">
        <w:t>with</w:t>
      </w:r>
      <w:r>
        <w:t xml:space="preserve"> voluntary or compulsory treatment </w:t>
      </w:r>
      <w:r w:rsidRPr="00FA06B6">
        <w:t xml:space="preserve">conditions </w:t>
      </w:r>
      <w:r w:rsidR="00BB7A80">
        <w:t>(e.g.</w:t>
      </w:r>
      <w:r>
        <w:t xml:space="preserve"> </w:t>
      </w:r>
      <w:r w:rsidRPr="00FA06B6">
        <w:t>T</w:t>
      </w:r>
      <w:r>
        <w:t xml:space="preserve">herapeutic </w:t>
      </w:r>
      <w:r w:rsidRPr="00FA06B6">
        <w:t>T</w:t>
      </w:r>
      <w:r>
        <w:t xml:space="preserve">reatment </w:t>
      </w:r>
      <w:r w:rsidRPr="00FA06B6">
        <w:t>O</w:t>
      </w:r>
      <w:r>
        <w:t>rders</w:t>
      </w:r>
      <w:r w:rsidRPr="00FA06B6">
        <w:t xml:space="preserve"> </w:t>
      </w:r>
      <w:r>
        <w:t>available in</w:t>
      </w:r>
      <w:r w:rsidRPr="00FA06B6">
        <w:t xml:space="preserve"> the </w:t>
      </w:r>
      <w:r>
        <w:t>family division of the Children’s Court</w:t>
      </w:r>
      <w:r w:rsidR="00BB7A80">
        <w:t>)</w:t>
      </w:r>
      <w:r w:rsidR="00AC3111">
        <w:t>.</w:t>
      </w:r>
      <w:r w:rsidR="00CE1168" w:rsidRPr="00CE1168">
        <w:t xml:space="preserve"> </w:t>
      </w:r>
      <w:r w:rsidR="00CE1168">
        <w:t xml:space="preserve">An option for servicing this Order could be through </w:t>
      </w:r>
      <w:r w:rsidR="005A02FD">
        <w:t>d</w:t>
      </w:r>
      <w:r w:rsidR="00496A9E">
        <w:t>esignated</w:t>
      </w:r>
      <w:r w:rsidR="00CE1168">
        <w:t xml:space="preserve"> </w:t>
      </w:r>
      <w:r w:rsidR="005A02FD">
        <w:t>m</w:t>
      </w:r>
      <w:r w:rsidR="00CE1168">
        <w:t xml:space="preserve">ental </w:t>
      </w:r>
      <w:r w:rsidR="005A02FD">
        <w:t>h</w:t>
      </w:r>
      <w:r w:rsidR="00CE1168">
        <w:t xml:space="preserve">ealth </w:t>
      </w:r>
      <w:r w:rsidR="005A02FD">
        <w:t>s</w:t>
      </w:r>
      <w:r w:rsidR="00CE1168">
        <w:t xml:space="preserve">ervices, noting </w:t>
      </w:r>
      <w:r w:rsidR="005A02FD">
        <w:t>they</w:t>
      </w:r>
      <w:r w:rsidR="00CE1168">
        <w:t xml:space="preserve"> currently have restrictive eligibility criteria due to considerable resource constraints, as well as practical limitations.</w:t>
      </w:r>
      <w:r w:rsidR="00CE1168">
        <w:rPr>
          <w:rStyle w:val="FootnoteReference"/>
        </w:rPr>
        <w:footnoteReference w:id="195"/>
      </w:r>
    </w:p>
    <w:p w14:paraId="42A5EDC2" w14:textId="36DB9294" w:rsidR="00EF532E" w:rsidRDefault="00AC3111" w:rsidP="00904F90">
      <w:pPr>
        <w:pStyle w:val="Listbulletcoloured"/>
      </w:pPr>
      <w:r>
        <w:t xml:space="preserve">Refer for </w:t>
      </w:r>
      <w:r w:rsidRPr="00FA06B6">
        <w:t xml:space="preserve">an assessment for </w:t>
      </w:r>
      <w:r>
        <w:t>a Non-custodial Supervision Order</w:t>
      </w:r>
      <w:r w:rsidR="008C4216" w:rsidRPr="008C4216">
        <w:t xml:space="preserve"> </w:t>
      </w:r>
      <w:r w:rsidR="008C4216">
        <w:t xml:space="preserve">of up to </w:t>
      </w:r>
      <w:r w:rsidR="002E6A14">
        <w:t>two</w:t>
      </w:r>
      <w:r w:rsidR="002E6A14" w:rsidRPr="00FA06B6">
        <w:t xml:space="preserve"> </w:t>
      </w:r>
      <w:r w:rsidRPr="00FA06B6">
        <w:t>y</w:t>
      </w:r>
      <w:r>
        <w:t>ea</w:t>
      </w:r>
      <w:r w:rsidRPr="00FA06B6">
        <w:t xml:space="preserve">rs with </w:t>
      </w:r>
      <w:r w:rsidR="008C4216">
        <w:t xml:space="preserve">an </w:t>
      </w:r>
      <w:r w:rsidRPr="00FA06B6">
        <w:t xml:space="preserve">option to extend </w:t>
      </w:r>
      <w:r w:rsidR="008C4216">
        <w:t>on</w:t>
      </w:r>
      <w:r w:rsidRPr="00FA06B6">
        <w:t xml:space="preserve"> review</w:t>
      </w:r>
      <w:r w:rsidR="008C4216">
        <w:t>,</w:t>
      </w:r>
      <w:r w:rsidRPr="00FA06B6">
        <w:t xml:space="preserve"> which could not be converted to a CSO but could be uplifted to the County Court if a variation to CSO is sought</w:t>
      </w:r>
      <w:r w:rsidR="00BC3739">
        <w:t>.</w:t>
      </w:r>
      <w:r w:rsidRPr="00A505AB">
        <w:rPr>
          <w:rStyle w:val="FootnoteReference"/>
        </w:rPr>
        <w:t xml:space="preserve"> </w:t>
      </w:r>
      <w:r w:rsidR="00A505AB">
        <w:rPr>
          <w:rStyle w:val="FootnoteReference"/>
        </w:rPr>
        <w:footnoteReference w:id="196"/>
      </w:r>
      <w:r w:rsidR="00A505AB">
        <w:t xml:space="preserve"> </w:t>
      </w:r>
      <w:r>
        <w:t xml:space="preserve"> </w:t>
      </w:r>
    </w:p>
    <w:p w14:paraId="3DCBE23E" w14:textId="5C2ECEF9" w:rsidR="003C4D69" w:rsidRDefault="00EF532E" w:rsidP="00904F90">
      <w:pPr>
        <w:pStyle w:val="Listbulletcoloured"/>
      </w:pPr>
      <w:r>
        <w:t>O</w:t>
      </w:r>
      <w:r w:rsidRPr="00FA06B6">
        <w:t xml:space="preserve">rder a Justice Plan for </w:t>
      </w:r>
      <w:r w:rsidR="007278DA">
        <w:t>people whose</w:t>
      </w:r>
      <w:r w:rsidRPr="00FA06B6">
        <w:t xml:space="preserve"> mental health issues </w:t>
      </w:r>
      <w:r>
        <w:t>result in</w:t>
      </w:r>
      <w:r w:rsidRPr="00FA06B6">
        <w:t xml:space="preserve"> disability</w:t>
      </w:r>
      <w:r w:rsidR="007278DA">
        <w:t>,</w:t>
      </w:r>
      <w:r w:rsidR="00BB7A80">
        <w:t xml:space="preserve"> providing </w:t>
      </w:r>
      <w:r w:rsidRPr="004F12C9">
        <w:t>a person with specialist support and interventions</w:t>
      </w:r>
      <w:r w:rsidR="00BB7A80">
        <w:t>, which can be</w:t>
      </w:r>
      <w:r w:rsidRPr="004F12C9">
        <w:t xml:space="preserve"> attach</w:t>
      </w:r>
      <w:r w:rsidR="00BB7A80">
        <w:t>ed</w:t>
      </w:r>
      <w:r w:rsidRPr="004F12C9">
        <w:t xml:space="preserve"> to an adjourned undertaking order imposed by a </w:t>
      </w:r>
      <w:r w:rsidR="003816E4">
        <w:t>m</w:t>
      </w:r>
      <w:r w:rsidRPr="004F12C9">
        <w:t>agistrate.</w:t>
      </w:r>
      <w:r w:rsidR="00BB7A80">
        <w:rPr>
          <w:rStyle w:val="FootnoteReference"/>
          <w:iCs/>
        </w:rPr>
        <w:footnoteReference w:id="197"/>
      </w:r>
      <w:r w:rsidRPr="004F12C9">
        <w:t xml:space="preserve"> </w:t>
      </w:r>
    </w:p>
    <w:p w14:paraId="72F4EA8C" w14:textId="25FBCF36" w:rsidR="003C4D69" w:rsidRPr="00695065" w:rsidRDefault="00695065" w:rsidP="00293D08">
      <w:pPr>
        <w:shd w:val="clear" w:color="auto" w:fill="DEEAF6" w:themeFill="accent5" w:themeFillTint="33"/>
        <w:ind w:left="426"/>
      </w:pPr>
      <w:bookmarkStart w:id="3786" w:name="_Toc40355787"/>
      <w:bookmarkStart w:id="3787" w:name="_Toc41325434"/>
      <w:bookmarkStart w:id="3788" w:name="_Toc41332843"/>
      <w:bookmarkStart w:id="3789" w:name="_Toc41412021"/>
      <w:r w:rsidRPr="00B9060C">
        <w:rPr>
          <w:b/>
          <w:bCs/>
        </w:rPr>
        <w:t xml:space="preserve">Recommendation </w:t>
      </w:r>
      <w:r>
        <w:rPr>
          <w:b/>
          <w:bCs/>
        </w:rPr>
        <w:t xml:space="preserve">52: </w:t>
      </w:r>
      <w:r w:rsidR="000833C6">
        <w:rPr>
          <w:b/>
          <w:bCs/>
        </w:rPr>
        <w:tab/>
      </w:r>
      <w:r w:rsidR="007B64F8" w:rsidRPr="00695065">
        <w:rPr>
          <w:b/>
          <w:bCs/>
        </w:rPr>
        <w:t>Broaden s</w:t>
      </w:r>
      <w:r w:rsidR="003C4D69" w:rsidRPr="00695065">
        <w:rPr>
          <w:b/>
          <w:bCs/>
        </w:rPr>
        <w:t>ummary jurisdiction dispositions</w:t>
      </w:r>
      <w:bookmarkEnd w:id="3786"/>
      <w:r w:rsidR="007B64F8" w:rsidRPr="00695065">
        <w:rPr>
          <w:b/>
          <w:bCs/>
        </w:rPr>
        <w:t xml:space="preserve"> during sentencing</w:t>
      </w:r>
      <w:bookmarkEnd w:id="3787"/>
      <w:bookmarkEnd w:id="3788"/>
      <w:bookmarkEnd w:id="3789"/>
    </w:p>
    <w:p w14:paraId="1CE9614F" w14:textId="29AF5B0C" w:rsidR="003C4D69" w:rsidRPr="00695065" w:rsidRDefault="00BB7A80" w:rsidP="00293D08">
      <w:pPr>
        <w:shd w:val="clear" w:color="auto" w:fill="DEEAF6" w:themeFill="accent5" w:themeFillTint="33"/>
        <w:spacing w:line="276" w:lineRule="auto"/>
        <w:ind w:left="426"/>
      </w:pPr>
      <w:bookmarkStart w:id="3790" w:name="_Hlk40213850"/>
      <w:r w:rsidRPr="00293D08">
        <w:t>The Victorian Government should i</w:t>
      </w:r>
      <w:r w:rsidRPr="00695065">
        <w:t xml:space="preserve">ncrease the range of dispositions available in the summary jurisdiction, to enable </w:t>
      </w:r>
      <w:r w:rsidR="003B2ECE" w:rsidRPr="00695065">
        <w:t>tailored</w:t>
      </w:r>
      <w:r w:rsidRPr="00695065">
        <w:t xml:space="preserve"> options</w:t>
      </w:r>
      <w:r w:rsidR="003B2ECE" w:rsidRPr="00695065">
        <w:t xml:space="preserve"> to support recovery</w:t>
      </w:r>
      <w:r w:rsidRPr="00695065">
        <w:t xml:space="preserve"> where a person’s mental health </w:t>
      </w:r>
      <w:r w:rsidR="008B44A2" w:rsidRPr="00695065">
        <w:t xml:space="preserve">or functioning </w:t>
      </w:r>
      <w:r w:rsidRPr="00695065">
        <w:t xml:space="preserve">contributes to their offending, </w:t>
      </w:r>
      <w:r w:rsidR="009713E6" w:rsidRPr="00695065">
        <w:t xml:space="preserve">including </w:t>
      </w:r>
      <w:r w:rsidR="0029382A" w:rsidRPr="00695065">
        <w:t xml:space="preserve">options for </w:t>
      </w:r>
      <w:r w:rsidR="009713E6" w:rsidRPr="00695065">
        <w:t xml:space="preserve">referral to the civil system </w:t>
      </w:r>
      <w:r w:rsidR="0029382A" w:rsidRPr="00695065">
        <w:t xml:space="preserve">and </w:t>
      </w:r>
      <w:r w:rsidRPr="00695065">
        <w:t xml:space="preserve">forensic supervision for people found not fit or not guilty due to mental impairment. </w:t>
      </w:r>
      <w:bookmarkStart w:id="3791" w:name="_Toc40186439"/>
      <w:bookmarkStart w:id="3792" w:name="_Toc40186848"/>
      <w:bookmarkEnd w:id="3790"/>
      <w:bookmarkEnd w:id="3791"/>
      <w:bookmarkEnd w:id="3792"/>
    </w:p>
    <w:p w14:paraId="0711BE0B" w14:textId="6B6B7613" w:rsidR="00880C02" w:rsidRPr="00695065" w:rsidRDefault="00880C02" w:rsidP="00293D08">
      <w:pPr>
        <w:shd w:val="clear" w:color="auto" w:fill="DEEAF6" w:themeFill="accent5" w:themeFillTint="33"/>
        <w:spacing w:line="276" w:lineRule="auto"/>
        <w:ind w:left="426"/>
      </w:pPr>
      <w:r w:rsidRPr="00695065">
        <w:t xml:space="preserve">This should be accompanied by training for </w:t>
      </w:r>
      <w:r w:rsidR="003816E4" w:rsidRPr="00695065">
        <w:t>m</w:t>
      </w:r>
      <w:r w:rsidRPr="00695065">
        <w:t>agistrates and judici</w:t>
      </w:r>
      <w:r w:rsidR="00F216C8" w:rsidRPr="00695065">
        <w:t>al officers in principles</w:t>
      </w:r>
      <w:r w:rsidRPr="00695065">
        <w:t xml:space="preserve"> of</w:t>
      </w:r>
      <w:r w:rsidR="00F216C8" w:rsidRPr="00695065">
        <w:t xml:space="preserve"> therapeutic jurisprudence and </w:t>
      </w:r>
      <w:r w:rsidR="009304A0" w:rsidRPr="00695065">
        <w:t>training around mental</w:t>
      </w:r>
      <w:r w:rsidR="00DA080E" w:rsidRPr="00695065">
        <w:t xml:space="preserve"> impairment and</w:t>
      </w:r>
      <w:r w:rsidR="009304A0" w:rsidRPr="00695065">
        <w:t xml:space="preserve"> health issues.</w:t>
      </w:r>
    </w:p>
    <w:p w14:paraId="6B073E79" w14:textId="77777777" w:rsidR="005E2019" w:rsidRPr="002A437D" w:rsidRDefault="005E2019" w:rsidP="00AC258C">
      <w:pPr>
        <w:pStyle w:val="Heading3"/>
      </w:pPr>
      <w:bookmarkStart w:id="3793" w:name="_Ref40116658"/>
      <w:bookmarkStart w:id="3794" w:name="_Toc40193448"/>
      <w:r>
        <w:lastRenderedPageBreak/>
        <w:t>Community sentences rather than short sentences of imprisonment</w:t>
      </w:r>
      <w:bookmarkEnd w:id="3793"/>
    </w:p>
    <w:p w14:paraId="0FF49774" w14:textId="77777777" w:rsidR="005E2019" w:rsidRDefault="005E2019" w:rsidP="005E2019">
      <w:r>
        <w:t>Spending time in custody on remand or a sentence</w:t>
      </w:r>
      <w:r w:rsidRPr="001309A3">
        <w:t xml:space="preserve"> is criminogenic and expensive. </w:t>
      </w:r>
      <w:r>
        <w:t>People who are sentenced in the community and complete an order are less likely to reoffend than those sentenced to imprisonment.</w:t>
      </w:r>
      <w:r>
        <w:rPr>
          <w:rStyle w:val="FootnoteReference"/>
        </w:rPr>
        <w:footnoteReference w:id="198"/>
      </w:r>
      <w:r>
        <w:t xml:space="preserve"> </w:t>
      </w:r>
    </w:p>
    <w:p w14:paraId="3562FB68" w14:textId="77777777" w:rsidR="005E2019" w:rsidRDefault="005E2019" w:rsidP="005E2019">
      <w:r>
        <w:t>Like s</w:t>
      </w:r>
      <w:r w:rsidRPr="002A437D">
        <w:t xml:space="preserve">hort </w:t>
      </w:r>
      <w:r>
        <w:t xml:space="preserve">periods on remand, short </w:t>
      </w:r>
      <w:r w:rsidRPr="002A437D">
        <w:t xml:space="preserve">sentences </w:t>
      </w:r>
      <w:r>
        <w:t>are particularly detrimental for our vulnerable clients: they are long enough to significantly disrupt existing supports, but not long enough to provide access to programs or promote meaningful recovery while in custody. T</w:t>
      </w:r>
      <w:r w:rsidRPr="00DD39B7">
        <w:t>he stigma associated with time in custody</w:t>
      </w:r>
      <w:r>
        <w:t>, combined with a l</w:t>
      </w:r>
      <w:r w:rsidRPr="00DD39B7">
        <w:t xml:space="preserve">ack of post-release </w:t>
      </w:r>
      <w:r>
        <w:t xml:space="preserve">supervision or reintegration </w:t>
      </w:r>
      <w:r w:rsidRPr="00DD39B7">
        <w:t>support,</w:t>
      </w:r>
      <w:r>
        <w:t xml:space="preserve"> </w:t>
      </w:r>
      <w:r w:rsidRPr="00DD39B7">
        <w:t>can all entrench patterns of offending behaviour</w:t>
      </w:r>
      <w:r>
        <w:t xml:space="preserve">. Reducing the number of people on remand or serving short sentences </w:t>
      </w:r>
      <w:r w:rsidRPr="00B245B7">
        <w:t xml:space="preserve">in favour of </w:t>
      </w:r>
      <w:r>
        <w:t xml:space="preserve">properly supported and supervised community </w:t>
      </w:r>
      <w:r w:rsidRPr="00B245B7">
        <w:t>sentences</w:t>
      </w:r>
      <w:r>
        <w:t xml:space="preserve"> where possible, could reduce recidivism.</w:t>
      </w:r>
      <w:r>
        <w:rPr>
          <w:rStyle w:val="FootnoteReference"/>
        </w:rPr>
        <w:footnoteReference w:id="199"/>
      </w:r>
    </w:p>
    <w:p w14:paraId="31539C73" w14:textId="76CE658B" w:rsidR="005E2019" w:rsidRDefault="005E2019" w:rsidP="005E2019">
      <w:pPr>
        <w:rPr>
          <w:lang w:eastAsia="en-AU"/>
        </w:rPr>
      </w:pPr>
      <w:r>
        <w:t>Some countries are moving away from short sentences.</w:t>
      </w:r>
      <w:bookmarkStart w:id="3795" w:name="_Ref39692011"/>
      <w:r>
        <w:t xml:space="preserve"> </w:t>
      </w:r>
      <w:r w:rsidRPr="00447D9E">
        <w:t>Scotland created a presumption against sentences of less than three months in 2010 and the U</w:t>
      </w:r>
      <w:r>
        <w:t xml:space="preserve">nited </w:t>
      </w:r>
      <w:r w:rsidRPr="00447D9E">
        <w:t>K</w:t>
      </w:r>
      <w:r>
        <w:t>ingdom</w:t>
      </w:r>
      <w:r w:rsidRPr="00447D9E">
        <w:t xml:space="preserve"> is considering preventing the courts f</w:t>
      </w:r>
      <w:r w:rsidR="00703B4C">
        <w:t>r</w:t>
      </w:r>
      <w:r w:rsidRPr="00447D9E">
        <w:t>om imposing prison terms of less than six months, except for violent or sexual offences</w:t>
      </w:r>
      <w:r>
        <w:t>.</w:t>
      </w:r>
      <w:r>
        <w:rPr>
          <w:rStyle w:val="FootnoteReference"/>
        </w:rPr>
        <w:footnoteReference w:id="200"/>
      </w:r>
      <w:bookmarkEnd w:id="3795"/>
      <w:r>
        <w:rPr>
          <w:lang w:eastAsia="en-AU"/>
        </w:rPr>
        <w:t xml:space="preserve"> </w:t>
      </w:r>
      <w:r w:rsidR="008F7944">
        <w:rPr>
          <w:lang w:eastAsia="en-AU"/>
        </w:rPr>
        <w:t>The only Australian jurisdiction to have abolished short sentences is Western Australia</w:t>
      </w:r>
      <w:r w:rsidR="0041105E">
        <w:rPr>
          <w:lang w:eastAsia="en-AU"/>
        </w:rPr>
        <w:t>;</w:t>
      </w:r>
      <w:r w:rsidR="00971920">
        <w:rPr>
          <w:rStyle w:val="FootnoteReference"/>
          <w:lang w:eastAsia="en-AU"/>
        </w:rPr>
        <w:footnoteReference w:id="201"/>
      </w:r>
      <w:r w:rsidR="0041105E">
        <w:rPr>
          <w:lang w:eastAsia="en-AU"/>
        </w:rPr>
        <w:t xml:space="preserve"> NSW requires judicial officers to give reasons if they impose a term of imprisonment for less than six months</w:t>
      </w:r>
      <w:r w:rsidR="008F7944">
        <w:rPr>
          <w:lang w:eastAsia="en-AU"/>
        </w:rPr>
        <w:t>.</w:t>
      </w:r>
      <w:r w:rsidR="008F7944">
        <w:rPr>
          <w:rStyle w:val="FootnoteReference"/>
          <w:lang w:eastAsia="en-AU"/>
        </w:rPr>
        <w:footnoteReference w:id="202"/>
      </w:r>
    </w:p>
    <w:p w14:paraId="722376D3" w14:textId="1D9E6BD1" w:rsidR="005E2019" w:rsidRDefault="005E2019" w:rsidP="005E2019">
      <w:r>
        <w:rPr>
          <w:lang w:eastAsia="en-AU"/>
        </w:rPr>
        <w:t xml:space="preserve">A presumption against short sentences of less than three months combined with a requirement to give reasons if a judicial officer intends to impose a term of imprisonment for less than that period would reduce the number of short sentences imposed without limiting judicial discretion or flexibility. Properly resourced and recovery focused </w:t>
      </w:r>
      <w:r w:rsidR="00852AC8">
        <w:rPr>
          <w:lang w:eastAsia="en-AU"/>
        </w:rPr>
        <w:t>community</w:t>
      </w:r>
      <w:r>
        <w:rPr>
          <w:lang w:eastAsia="en-AU"/>
        </w:rPr>
        <w:t xml:space="preserve"> sentences (including our proposed </w:t>
      </w:r>
      <w:r w:rsidR="00852AC8">
        <w:rPr>
          <w:lang w:eastAsia="en-AU"/>
        </w:rPr>
        <w:t>Rehabilitation</w:t>
      </w:r>
      <w:r>
        <w:rPr>
          <w:lang w:eastAsia="en-AU"/>
        </w:rPr>
        <w:t xml:space="preserve"> Orders and therapeutically oriented CCOs) will provide a meaningful alternative to imprisonment to reduce the overrepresentation of people experiencing mental health issues and break the cycle of reoffending.</w:t>
      </w:r>
      <w:r w:rsidR="00335163">
        <w:rPr>
          <w:lang w:eastAsia="en-AU"/>
        </w:rPr>
        <w:t xml:space="preserve"> </w:t>
      </w:r>
      <w:r w:rsidR="00672818">
        <w:rPr>
          <w:lang w:eastAsia="en-AU"/>
        </w:rPr>
        <w:t xml:space="preserve">It will also </w:t>
      </w:r>
      <w:r w:rsidR="002F3CD0">
        <w:rPr>
          <w:lang w:eastAsia="en-AU"/>
        </w:rPr>
        <w:t xml:space="preserve">save significant </w:t>
      </w:r>
      <w:r w:rsidR="002F3CD0">
        <w:t>incarceration</w:t>
      </w:r>
      <w:r w:rsidR="009A4F56" w:rsidRPr="009A4F56">
        <w:t xml:space="preserve"> </w:t>
      </w:r>
      <w:r w:rsidR="009A4F56">
        <w:t>costs</w:t>
      </w:r>
      <w:r w:rsidR="002F3CD0">
        <w:t xml:space="preserve">, </w:t>
      </w:r>
      <w:r w:rsidR="00A66AC0">
        <w:t xml:space="preserve">freeing </w:t>
      </w:r>
      <w:r w:rsidR="002F3CD0">
        <w:t>resources to be r</w:t>
      </w:r>
      <w:r w:rsidR="00A66AC0">
        <w:t xml:space="preserve">edirected to improved </w:t>
      </w:r>
      <w:r w:rsidR="00672818">
        <w:t>community supervision</w:t>
      </w:r>
      <w:r w:rsidR="009A4F56">
        <w:t xml:space="preserve"> and integrated </w:t>
      </w:r>
      <w:r w:rsidR="0077052B">
        <w:t>services</w:t>
      </w:r>
      <w:r w:rsidR="00A66AC0">
        <w:t>.</w:t>
      </w:r>
    </w:p>
    <w:p w14:paraId="559261CE" w14:textId="7D7904F7" w:rsidR="005E2019" w:rsidRDefault="005E2019" w:rsidP="005E2019">
      <w:pPr>
        <w:rPr>
          <w:lang w:eastAsia="en-AU"/>
        </w:rPr>
      </w:pPr>
      <w:r>
        <w:t xml:space="preserve">Options which enable people to remain in the community, receiving therapeutic treatment and supervision, should be used in favour of short sentences of imprisonment. </w:t>
      </w:r>
      <w:r w:rsidR="003E76A9">
        <w:t>An example is t</w:t>
      </w:r>
      <w:r>
        <w:t xml:space="preserve">he youth specialist service Youth Junction, at the Visy Hub in Sunshine, </w:t>
      </w:r>
      <w:r w:rsidR="002E6A14">
        <w:t xml:space="preserve">which </w:t>
      </w:r>
      <w:r>
        <w:t xml:space="preserve">successfully provides pre-sentence programs for young people up to 25 years old. </w:t>
      </w:r>
      <w:r w:rsidRPr="00BC0E1C">
        <w:rPr>
          <w:lang w:val="en-US"/>
        </w:rPr>
        <w:t xml:space="preserve">These programs provide </w:t>
      </w:r>
      <w:r>
        <w:t>mental health support through intensive case management and direct access to mental health clinicians</w:t>
      </w:r>
      <w:r w:rsidRPr="00BC0E1C">
        <w:t>.</w:t>
      </w:r>
      <w:r>
        <w:t xml:space="preserve"> A recent </w:t>
      </w:r>
      <w:r>
        <w:lastRenderedPageBreak/>
        <w:t xml:space="preserve">independent evaluation </w:t>
      </w:r>
      <w:r w:rsidRPr="003872BB">
        <w:t>found that the program was highly successful, with 74</w:t>
      </w:r>
      <w:r>
        <w:t xml:space="preserve"> per cent </w:t>
      </w:r>
      <w:r w:rsidRPr="003872BB">
        <w:t xml:space="preserve">completion rate, compared with the 42 </w:t>
      </w:r>
      <w:r>
        <w:t>per cent</w:t>
      </w:r>
      <w:r w:rsidRPr="003872BB">
        <w:t xml:space="preserve"> completion rate for a </w:t>
      </w:r>
      <w:r w:rsidR="002E6A14">
        <w:t>CCO</w:t>
      </w:r>
      <w:r>
        <w:t xml:space="preserve"> at a cheaper rate.</w:t>
      </w:r>
      <w:r>
        <w:rPr>
          <w:rStyle w:val="FootnoteReference"/>
          <w:rFonts w:ascii="Calibri" w:hAnsi="Calibri" w:cs="Calibri"/>
          <w:szCs w:val="22"/>
        </w:rPr>
        <w:footnoteReference w:id="203"/>
      </w:r>
    </w:p>
    <w:p w14:paraId="6BBEFE11" w14:textId="0265AF5D" w:rsidR="005E2019" w:rsidRPr="00695065" w:rsidRDefault="00695065" w:rsidP="00293D08">
      <w:pPr>
        <w:shd w:val="clear" w:color="auto" w:fill="DEEAF6" w:themeFill="accent5" w:themeFillTint="33"/>
        <w:ind w:left="426"/>
      </w:pPr>
      <w:bookmarkStart w:id="3796" w:name="_Toc40355784"/>
      <w:bookmarkStart w:id="3797" w:name="_Toc41325435"/>
      <w:bookmarkStart w:id="3798" w:name="_Toc41332844"/>
      <w:bookmarkStart w:id="3799" w:name="_Toc41412022"/>
      <w:r w:rsidRPr="00B9060C">
        <w:rPr>
          <w:b/>
          <w:bCs/>
        </w:rPr>
        <w:t xml:space="preserve">Recommendation </w:t>
      </w:r>
      <w:r w:rsidRPr="00695065">
        <w:rPr>
          <w:b/>
          <w:bCs/>
        </w:rPr>
        <w:t xml:space="preserve">53: </w:t>
      </w:r>
      <w:r w:rsidR="000833C6">
        <w:rPr>
          <w:b/>
          <w:bCs/>
        </w:rPr>
        <w:tab/>
      </w:r>
      <w:r w:rsidR="005E2019" w:rsidRPr="00695065">
        <w:rPr>
          <w:b/>
          <w:bCs/>
        </w:rPr>
        <w:t>Increase use of community-based sentences</w:t>
      </w:r>
      <w:bookmarkEnd w:id="3796"/>
      <w:bookmarkEnd w:id="3797"/>
      <w:bookmarkEnd w:id="3798"/>
      <w:bookmarkEnd w:id="3799"/>
    </w:p>
    <w:p w14:paraId="1925B10A" w14:textId="4421C677" w:rsidR="005E2019" w:rsidRPr="00695065" w:rsidRDefault="00C95247" w:rsidP="00293D08">
      <w:pPr>
        <w:shd w:val="clear" w:color="auto" w:fill="DEEAF6" w:themeFill="accent5" w:themeFillTint="33"/>
        <w:ind w:left="426"/>
      </w:pPr>
      <w:r w:rsidRPr="00695065">
        <w:t>The Victorian Government should create</w:t>
      </w:r>
      <w:r w:rsidR="005E2019" w:rsidRPr="00695065">
        <w:t xml:space="preserve"> a presumption against short sentences of imprisonment for people experiencing mental health issues (in favour of sentences which allow the person to stay in the community), combined with a requirement for reasons to be given where a sentence of less than three months imprisonment is imposed. </w:t>
      </w:r>
    </w:p>
    <w:p w14:paraId="5718BC93" w14:textId="7E876034" w:rsidR="005E2019" w:rsidRPr="00293D08" w:rsidRDefault="005E2019" w:rsidP="00293D08">
      <w:pPr>
        <w:shd w:val="clear" w:color="auto" w:fill="DEEAF6" w:themeFill="accent5" w:themeFillTint="33"/>
        <w:ind w:left="426"/>
      </w:pPr>
      <w:r w:rsidRPr="00695065">
        <w:t xml:space="preserve">The Victorian Government should resource pre-sentence programs which can provide integrated case management, intensive supervision, and prompt access to locally based clinicians and services. </w:t>
      </w:r>
    </w:p>
    <w:p w14:paraId="543240CD" w14:textId="05E25663" w:rsidR="00BC69FD" w:rsidRDefault="00CE5EEB" w:rsidP="00575627">
      <w:pPr>
        <w:pStyle w:val="Heading2"/>
      </w:pPr>
      <w:bookmarkStart w:id="3800" w:name="_Toc41651977"/>
      <w:r>
        <w:t xml:space="preserve">Therapeutic </w:t>
      </w:r>
      <w:r w:rsidR="00BC69FD">
        <w:t>support while serving a sentence</w:t>
      </w:r>
      <w:bookmarkEnd w:id="3800"/>
    </w:p>
    <w:p w14:paraId="42D30653" w14:textId="16625C89" w:rsidR="00BB7A80" w:rsidRDefault="00BC69FD" w:rsidP="00BC1957">
      <w:pPr>
        <w:pStyle w:val="Heading3"/>
      </w:pPr>
      <w:r>
        <w:t>Reorient</w:t>
      </w:r>
      <w:r w:rsidR="00917B67">
        <w:t>ed</w:t>
      </w:r>
      <w:r w:rsidR="00BB7A80" w:rsidRPr="00B245B7">
        <w:t xml:space="preserve"> </w:t>
      </w:r>
      <w:r w:rsidR="00454F0A">
        <w:t>c</w:t>
      </w:r>
      <w:r w:rsidR="00BB7A80" w:rsidRPr="00B245B7">
        <w:t xml:space="preserve">ommunity </w:t>
      </w:r>
      <w:r w:rsidR="00454F0A">
        <w:t>supervised sentences</w:t>
      </w:r>
      <w:bookmarkEnd w:id="3794"/>
    </w:p>
    <w:p w14:paraId="7F46D914" w14:textId="13492EAC" w:rsidR="00DC0706" w:rsidRPr="00DC0706" w:rsidRDefault="00423E47" w:rsidP="00DC0706">
      <w:r>
        <w:t xml:space="preserve">Victoria’s </w:t>
      </w:r>
      <w:r w:rsidR="005A67B3">
        <w:t>Community Correction Order</w:t>
      </w:r>
      <w:r w:rsidR="0092225E">
        <w:t xml:space="preserve"> regime</w:t>
      </w:r>
      <w:r w:rsidR="005A67B3">
        <w:t xml:space="preserve"> </w:t>
      </w:r>
      <w:r w:rsidR="0092225E">
        <w:t xml:space="preserve">has many positive characteristics and </w:t>
      </w:r>
      <w:r w:rsidR="00EC100F">
        <w:t xml:space="preserve">has been </w:t>
      </w:r>
      <w:r w:rsidR="0092225E">
        <w:t xml:space="preserve">praised </w:t>
      </w:r>
      <w:r w:rsidR="00960B67">
        <w:t>for its flexibility</w:t>
      </w:r>
      <w:r w:rsidR="0092225E" w:rsidRPr="0092225E">
        <w:t>.</w:t>
      </w:r>
      <w:r w:rsidR="00EC100F">
        <w:rPr>
          <w:rStyle w:val="FootnoteReference"/>
        </w:rPr>
        <w:footnoteReference w:id="204"/>
      </w:r>
      <w:r w:rsidR="00960B67">
        <w:t xml:space="preserve"> However, in practice t</w:t>
      </w:r>
      <w:r w:rsidR="00BB7A80">
        <w:t>he</w:t>
      </w:r>
      <w:r w:rsidR="003C4D69">
        <w:t xml:space="preserve"> effectiveness of CCO</w:t>
      </w:r>
      <w:r w:rsidR="00960B67">
        <w:t xml:space="preserve"> supervision</w:t>
      </w:r>
      <w:r w:rsidR="003C4D69">
        <w:t xml:space="preserve"> for </w:t>
      </w:r>
      <w:r w:rsidR="003C4D69" w:rsidRPr="00DD39B7">
        <w:t xml:space="preserve">people </w:t>
      </w:r>
      <w:r w:rsidR="003C4D69">
        <w:t xml:space="preserve">experiencing </w:t>
      </w:r>
      <w:r w:rsidR="003C4D69" w:rsidRPr="00DD39B7">
        <w:t xml:space="preserve">mental health issues </w:t>
      </w:r>
      <w:r w:rsidR="003C4D69">
        <w:t>could be improved</w:t>
      </w:r>
      <w:r w:rsidR="00960B67">
        <w:t>.</w:t>
      </w:r>
      <w:r w:rsidR="003C4D69">
        <w:t xml:space="preserve"> </w:t>
      </w:r>
      <w:r w:rsidR="00960B67">
        <w:t>T</w:t>
      </w:r>
      <w:r w:rsidR="003C4D69">
        <w:t xml:space="preserve">his cohort often </w:t>
      </w:r>
      <w:r w:rsidR="003C4D69" w:rsidRPr="00DD39B7">
        <w:t xml:space="preserve">require additional support to comply with the conditions of a CCO. </w:t>
      </w:r>
      <w:r w:rsidR="00B10465">
        <w:t>Our lawyers see that people who need more i</w:t>
      </w:r>
      <w:r w:rsidR="00B10465" w:rsidRPr="00DD39B7">
        <w:t>ntensive case management and support</w:t>
      </w:r>
      <w:r w:rsidR="00B10465">
        <w:t xml:space="preserve"> may have difficulty complying with treatment conditions</w:t>
      </w:r>
      <w:r w:rsidR="00B10465" w:rsidRPr="00DD39B7">
        <w:t>. This carries the risk of a person moving deeper into the justice system for breaching the conditions of their order, rather than because of new offending. If a person is not supported to manage related issues, such as drug or alcohol dependence, there is also a risk of further offending</w:t>
      </w:r>
      <w:r w:rsidR="00B10465">
        <w:t xml:space="preserve">. </w:t>
      </w:r>
    </w:p>
    <w:p w14:paraId="487F9B98" w14:textId="7D38B2C9" w:rsidR="008D7F49" w:rsidRDefault="008D7F49" w:rsidP="003C4D69">
      <w:r>
        <w:t>Corrections Victoria CCO case managers do not have a clinical background and do not provide treatment, they manage a range of participants with different presenting issues and needs. The Corrections supervision environment is inherently compliance driven and is not well equipped to manage and assist people experiencing chronic mental health issues, and does not routinely speak to the mental health system.</w:t>
      </w:r>
    </w:p>
    <w:p w14:paraId="4D862F70" w14:textId="41A96662" w:rsidR="00BB7A80" w:rsidRDefault="00BB7A80" w:rsidP="00BB7A80">
      <w:r>
        <w:t xml:space="preserve">We </w:t>
      </w:r>
      <w:r w:rsidRPr="001F632F">
        <w:t xml:space="preserve">recommend </w:t>
      </w:r>
      <w:r>
        <w:t xml:space="preserve">a </w:t>
      </w:r>
      <w:r w:rsidRPr="001F632F">
        <w:t xml:space="preserve">reorientation of </w:t>
      </w:r>
      <w:r w:rsidRPr="00B04220">
        <w:t>CCOs</w:t>
      </w:r>
      <w:r w:rsidRPr="001F632F">
        <w:t xml:space="preserve"> to be treatment focused, with </w:t>
      </w:r>
      <w:r w:rsidRPr="0902209E">
        <w:t xml:space="preserve">an expanded range of treatment </w:t>
      </w:r>
      <w:r w:rsidRPr="001F632F">
        <w:t xml:space="preserve">conditions made which are for the benefit of the person, and with a focus on case management and access to services. </w:t>
      </w:r>
      <w:r>
        <w:t>F</w:t>
      </w:r>
      <w:r w:rsidRPr="001F632F">
        <w:t>unding for direct access to treatment services for people subject to CCOs</w:t>
      </w:r>
      <w:r>
        <w:t xml:space="preserve"> would significantly </w:t>
      </w:r>
      <w:r w:rsidRPr="000D5C2F">
        <w:t>improve the management and effectiveness of CCOs</w:t>
      </w:r>
      <w:r>
        <w:t xml:space="preserve"> for people with treatment conditions</w:t>
      </w:r>
      <w:r w:rsidRPr="000D5C2F">
        <w:t>,</w:t>
      </w:r>
      <w:r w:rsidRPr="00366E22">
        <w:rPr>
          <w:vertAlign w:val="superscript"/>
        </w:rPr>
        <w:footnoteReference w:id="205"/>
      </w:r>
      <w:r w:rsidRPr="008D7BF3">
        <w:rPr>
          <w:vertAlign w:val="superscript"/>
        </w:rPr>
        <w:t xml:space="preserve"> </w:t>
      </w:r>
      <w:r w:rsidRPr="000D5C2F">
        <w:t>improving adherence and better address the underlying causes of the person’s offending.</w:t>
      </w:r>
      <w:r w:rsidR="006126F9">
        <w:rPr>
          <w:rStyle w:val="FootnoteReference"/>
        </w:rPr>
        <w:footnoteReference w:id="206"/>
      </w:r>
      <w:r w:rsidR="00BF1FB0">
        <w:t xml:space="preserve"> Pending positive evaluation, the Forensic Mental Health in Community Health program may represent </w:t>
      </w:r>
      <w:r w:rsidR="006A5B06">
        <w:t>a suitable model to be rolled out more widely.</w:t>
      </w:r>
    </w:p>
    <w:p w14:paraId="1EEA89F5" w14:textId="77777777" w:rsidR="00E350A3" w:rsidRDefault="00695065" w:rsidP="00293D08">
      <w:pPr>
        <w:keepNext/>
        <w:shd w:val="clear" w:color="auto" w:fill="DEEAF6" w:themeFill="accent5" w:themeFillTint="33"/>
        <w:spacing w:before="240" w:after="0" w:line="276" w:lineRule="auto"/>
        <w:ind w:left="425"/>
        <w:rPr>
          <w:b/>
          <w:bCs/>
        </w:rPr>
      </w:pPr>
      <w:bookmarkStart w:id="3801" w:name="_Toc40355788"/>
      <w:bookmarkStart w:id="3802" w:name="_Toc41332845"/>
      <w:bookmarkStart w:id="3803" w:name="_Toc41325436"/>
      <w:bookmarkStart w:id="3804" w:name="_Toc41412023"/>
      <w:r w:rsidRPr="00B9060C">
        <w:rPr>
          <w:b/>
          <w:bCs/>
        </w:rPr>
        <w:lastRenderedPageBreak/>
        <w:t xml:space="preserve">Recommendation </w:t>
      </w:r>
      <w:r>
        <w:rPr>
          <w:b/>
          <w:bCs/>
        </w:rPr>
        <w:t xml:space="preserve">54: </w:t>
      </w:r>
      <w:r w:rsidR="00856A7C" w:rsidRPr="00695065">
        <w:rPr>
          <w:b/>
          <w:bCs/>
        </w:rPr>
        <w:t>Reorient</w:t>
      </w:r>
      <w:r w:rsidR="00BB7A80" w:rsidRPr="00695065">
        <w:rPr>
          <w:b/>
          <w:bCs/>
        </w:rPr>
        <w:t xml:space="preserve"> </w:t>
      </w:r>
      <w:r w:rsidR="003C4D69" w:rsidRPr="00695065">
        <w:rPr>
          <w:b/>
          <w:bCs/>
        </w:rPr>
        <w:t>Community Corrections Orders</w:t>
      </w:r>
      <w:bookmarkEnd w:id="3801"/>
      <w:r w:rsidR="00856A7C" w:rsidRPr="00695065">
        <w:rPr>
          <w:b/>
          <w:bCs/>
        </w:rPr>
        <w:t xml:space="preserve"> to have </w:t>
      </w:r>
      <w:r w:rsidR="00D63E89" w:rsidRPr="00695065">
        <w:rPr>
          <w:b/>
          <w:bCs/>
        </w:rPr>
        <w:t xml:space="preserve">a </w:t>
      </w:r>
      <w:r w:rsidR="00856A7C" w:rsidRPr="00695065">
        <w:rPr>
          <w:b/>
          <w:bCs/>
        </w:rPr>
        <w:t>therapeutic focus</w:t>
      </w:r>
      <w:bookmarkEnd w:id="3802"/>
      <w:bookmarkEnd w:id="3803"/>
      <w:bookmarkEnd w:id="3804"/>
    </w:p>
    <w:p w14:paraId="7489EC44" w14:textId="3620AF1C" w:rsidR="00293D08" w:rsidRPr="00695065" w:rsidRDefault="00BB7A80" w:rsidP="00293D08">
      <w:pPr>
        <w:keepNext/>
        <w:shd w:val="clear" w:color="auto" w:fill="DEEAF6" w:themeFill="accent5" w:themeFillTint="33"/>
        <w:spacing w:before="240" w:after="0" w:line="276" w:lineRule="auto"/>
        <w:ind w:left="425"/>
      </w:pPr>
      <w:r w:rsidRPr="00695065">
        <w:t>The Victorian Government should:</w:t>
      </w:r>
    </w:p>
    <w:p w14:paraId="418C5FE3" w14:textId="1F313471" w:rsidR="00695065" w:rsidRPr="00695065" w:rsidRDefault="00BB7A80" w:rsidP="00984FB7">
      <w:pPr>
        <w:pStyle w:val="ListParagraph"/>
        <w:numPr>
          <w:ilvl w:val="0"/>
          <w:numId w:val="21"/>
        </w:numPr>
        <w:shd w:val="clear" w:color="auto" w:fill="DEEAF6" w:themeFill="accent5" w:themeFillTint="33"/>
        <w:spacing w:after="0" w:line="276" w:lineRule="auto"/>
        <w:ind w:left="851" w:hanging="425"/>
      </w:pPr>
      <w:r w:rsidRPr="00695065">
        <w:t>reorient Community Correction Orders through legislative amendments and operational changes to enable a therapeutic focus; and</w:t>
      </w:r>
    </w:p>
    <w:p w14:paraId="330DE37C" w14:textId="45490153" w:rsidR="00584413" w:rsidRPr="00293D08" w:rsidRDefault="00BB7A80" w:rsidP="00984FB7">
      <w:pPr>
        <w:pStyle w:val="ListParagraph"/>
        <w:numPr>
          <w:ilvl w:val="0"/>
          <w:numId w:val="21"/>
        </w:numPr>
        <w:shd w:val="clear" w:color="auto" w:fill="DEEAF6" w:themeFill="accent5" w:themeFillTint="33"/>
        <w:spacing w:before="120" w:line="276" w:lineRule="auto"/>
        <w:ind w:left="851" w:hanging="425"/>
        <w:contextualSpacing w:val="0"/>
      </w:pPr>
      <w:r w:rsidRPr="00695065">
        <w:t>resource direct access to relevant services while subject to treatment conditions under a C</w:t>
      </w:r>
      <w:r w:rsidR="003224BD" w:rsidRPr="00695065">
        <w:t>ommunity Correction Order</w:t>
      </w:r>
      <w:r w:rsidRPr="00695065">
        <w:t>.</w:t>
      </w:r>
    </w:p>
    <w:p w14:paraId="7E732042" w14:textId="7DC145BC" w:rsidR="00B34009" w:rsidRDefault="00B97A19" w:rsidP="00846755">
      <w:pPr>
        <w:pStyle w:val="Heading3"/>
      </w:pPr>
      <w:r>
        <w:t>A</w:t>
      </w:r>
      <w:r w:rsidR="00DF56A7">
        <w:t>cc</w:t>
      </w:r>
      <w:r>
        <w:t xml:space="preserve">ess to </w:t>
      </w:r>
      <w:r w:rsidR="007C62AD">
        <w:t>s</w:t>
      </w:r>
      <w:r w:rsidR="00B34009">
        <w:t xml:space="preserve">ecure forensic hospital facilities </w:t>
      </w:r>
    </w:p>
    <w:p w14:paraId="2EE24712" w14:textId="206FA3CD" w:rsidR="007C62AD" w:rsidRDefault="00CE1D7C" w:rsidP="007C62AD">
      <w:r>
        <w:t>S</w:t>
      </w:r>
      <w:r w:rsidR="007C62AD" w:rsidRPr="00F207E3">
        <w:t xml:space="preserve">ecure </w:t>
      </w:r>
      <w:r w:rsidR="007C62AD">
        <w:t xml:space="preserve">forensic </w:t>
      </w:r>
      <w:r w:rsidR="007C62AD" w:rsidRPr="00F207E3">
        <w:t xml:space="preserve">treatment facilities </w:t>
      </w:r>
      <w:r>
        <w:t xml:space="preserve">provide for the humane </w:t>
      </w:r>
      <w:r w:rsidR="0064270F">
        <w:t>compulsory</w:t>
      </w:r>
      <w:r>
        <w:t xml:space="preserve"> treatment of people in secure custody.</w:t>
      </w:r>
      <w:r w:rsidR="007C62AD" w:rsidRPr="00F207E3" w:rsidDel="00963CE4">
        <w:t xml:space="preserve"> </w:t>
      </w:r>
      <w:r w:rsidR="00B27A71" w:rsidRPr="00E47529">
        <w:t xml:space="preserve">Thomas </w:t>
      </w:r>
      <w:proofErr w:type="spellStart"/>
      <w:r w:rsidR="00B27A71" w:rsidRPr="00E47529">
        <w:t>Embling</w:t>
      </w:r>
      <w:proofErr w:type="spellEnd"/>
      <w:r w:rsidR="00B27A71" w:rsidRPr="00E47529">
        <w:t xml:space="preserve"> Hospital</w:t>
      </w:r>
      <w:r w:rsidR="00B27A71">
        <w:t xml:space="preserve"> is Victoria’s only secure forensic </w:t>
      </w:r>
      <w:r w:rsidR="00747482">
        <w:t>mental health</w:t>
      </w:r>
      <w:r w:rsidR="00B27A71">
        <w:t xml:space="preserve"> facility. </w:t>
      </w:r>
      <w:r w:rsidR="007C62AD">
        <w:t>There has been</w:t>
      </w:r>
      <w:r w:rsidR="007C62AD" w:rsidRPr="00F207E3">
        <w:t xml:space="preserve"> no significant growth</w:t>
      </w:r>
      <w:r w:rsidR="007C62AD">
        <w:t xml:space="preserve"> in the number of beds since the system was designed around much smaller numbers, and the number of beds has not kept pace with the growth in the prison population. </w:t>
      </w:r>
      <w:proofErr w:type="spellStart"/>
      <w:r w:rsidR="007C62AD">
        <w:t>Forensicare’s</w:t>
      </w:r>
      <w:proofErr w:type="spellEnd"/>
      <w:r w:rsidR="007C62AD">
        <w:t xml:space="preserve"> submission to this Commission noted that </w:t>
      </w:r>
      <w:r w:rsidR="007C62AD" w:rsidRPr="00BB7A80">
        <w:rPr>
          <w:szCs w:val="22"/>
        </w:rPr>
        <w:t>Victoria’s major acute psychiatric units operating at or above 95</w:t>
      </w:r>
      <w:r w:rsidR="007C62AD">
        <w:rPr>
          <w:szCs w:val="22"/>
        </w:rPr>
        <w:t xml:space="preserve"> per cent </w:t>
      </w:r>
      <w:r w:rsidR="007C62AD" w:rsidRPr="00BB7A80">
        <w:rPr>
          <w:szCs w:val="22"/>
        </w:rPr>
        <w:t>capacity</w:t>
      </w:r>
      <w:r w:rsidR="007C62AD">
        <w:t>.</w:t>
      </w:r>
      <w:bookmarkStart w:id="3805" w:name="_Ref41589562"/>
      <w:r w:rsidR="007C62AD">
        <w:rPr>
          <w:rStyle w:val="FootnoteReference"/>
        </w:rPr>
        <w:footnoteReference w:id="207"/>
      </w:r>
      <w:bookmarkEnd w:id="3805"/>
    </w:p>
    <w:p w14:paraId="43C4A0A4" w14:textId="3528F504" w:rsidR="00604660" w:rsidRDefault="00E55A81" w:rsidP="004F7C7B">
      <w:r w:rsidRPr="00F207E3">
        <w:t>These shortages impact across the criminal justice and forensic mental health systems</w:t>
      </w:r>
      <w:r>
        <w:t xml:space="preserve">, </w:t>
      </w:r>
      <w:r w:rsidRPr="00F207E3">
        <w:t>whether a person is on remand, sentenced, or found not guilty by reason of mental impairment</w:t>
      </w:r>
      <w:r>
        <w:t xml:space="preserve">. </w:t>
      </w:r>
      <w:r w:rsidR="005B72FE">
        <w:t xml:space="preserve">As the demand </w:t>
      </w:r>
      <w:r w:rsidR="005B72FE" w:rsidRPr="00F207E3">
        <w:t>exceeds the number of available beds</w:t>
      </w:r>
      <w:r w:rsidR="005B72FE">
        <w:t>,</w:t>
      </w:r>
      <w:r w:rsidR="005B72FE" w:rsidRPr="00F207E3">
        <w:t xml:space="preserve"> </w:t>
      </w:r>
      <w:r w:rsidR="005B72FE">
        <w:t>p</w:t>
      </w:r>
      <w:r w:rsidR="005B72FE" w:rsidRPr="00F207E3">
        <w:t xml:space="preserve">eople </w:t>
      </w:r>
      <w:r w:rsidR="005B72FE">
        <w:t xml:space="preserve">in custody are </w:t>
      </w:r>
      <w:r w:rsidR="005B72FE" w:rsidRPr="00F207E3">
        <w:t xml:space="preserve">waiting to get in </w:t>
      </w:r>
      <w:r w:rsidR="005B72FE">
        <w:t xml:space="preserve">to secure forensic beds for compulsory treatment, which has a detrimental impact on their mental health, making it </w:t>
      </w:r>
      <w:r w:rsidR="005B72FE" w:rsidRPr="00F207E3">
        <w:t xml:space="preserve">harder to </w:t>
      </w:r>
      <w:r w:rsidR="005B72FE">
        <w:t>transition out of custody</w:t>
      </w:r>
      <w:r>
        <w:t>,</w:t>
      </w:r>
      <w:r w:rsidR="00BB7A80" w:rsidRPr="00F207E3">
        <w:t xml:space="preserve"> and can also result in the prolonged detention in prison of people who have been found unfit to be tried. </w:t>
      </w:r>
    </w:p>
    <w:p w14:paraId="3C38CA30" w14:textId="39C1E173" w:rsidR="003C4D69" w:rsidRPr="001028B6" w:rsidRDefault="00695065" w:rsidP="00293D08">
      <w:pPr>
        <w:shd w:val="clear" w:color="auto" w:fill="DEEAF6" w:themeFill="accent5" w:themeFillTint="33"/>
        <w:ind w:left="426"/>
      </w:pPr>
      <w:bookmarkStart w:id="3806" w:name="_Toc40355789"/>
      <w:bookmarkStart w:id="3807" w:name="_Toc41325437"/>
      <w:bookmarkStart w:id="3808" w:name="_Toc41332846"/>
      <w:bookmarkStart w:id="3809" w:name="_Toc41412024"/>
      <w:r w:rsidRPr="00B9060C">
        <w:rPr>
          <w:b/>
          <w:bCs/>
        </w:rPr>
        <w:t xml:space="preserve">Recommendation </w:t>
      </w:r>
      <w:r>
        <w:rPr>
          <w:b/>
          <w:bCs/>
        </w:rPr>
        <w:t xml:space="preserve">55: </w:t>
      </w:r>
      <w:r w:rsidR="000833C6">
        <w:rPr>
          <w:b/>
          <w:bCs/>
        </w:rPr>
        <w:tab/>
      </w:r>
      <w:r w:rsidR="003C4D69" w:rsidRPr="00695065">
        <w:rPr>
          <w:b/>
          <w:bCs/>
        </w:rPr>
        <w:t>Expand secure forensic mental health facilities</w:t>
      </w:r>
      <w:bookmarkEnd w:id="3806"/>
      <w:bookmarkEnd w:id="3807"/>
      <w:bookmarkEnd w:id="3808"/>
      <w:bookmarkEnd w:id="3809"/>
    </w:p>
    <w:p w14:paraId="41B80EF9" w14:textId="480B3FA4" w:rsidR="00022920" w:rsidRPr="00695065" w:rsidRDefault="00BB7A80" w:rsidP="00293D08">
      <w:pPr>
        <w:shd w:val="clear" w:color="auto" w:fill="DEEAF6" w:themeFill="accent5" w:themeFillTint="33"/>
        <w:ind w:left="426"/>
      </w:pPr>
      <w:r w:rsidRPr="00695065">
        <w:t>The Victorian Government should r</w:t>
      </w:r>
      <w:r w:rsidR="003C4D69" w:rsidRPr="00695065">
        <w:t xml:space="preserve">esource </w:t>
      </w:r>
      <w:r w:rsidR="008653A1" w:rsidRPr="00695065">
        <w:t xml:space="preserve">a </w:t>
      </w:r>
      <w:proofErr w:type="gramStart"/>
      <w:r w:rsidR="008653A1" w:rsidRPr="00695065">
        <w:t>sufficient number of</w:t>
      </w:r>
      <w:proofErr w:type="gramEnd"/>
      <w:r w:rsidR="008653A1" w:rsidRPr="00695065">
        <w:t xml:space="preserve"> </w:t>
      </w:r>
      <w:r w:rsidR="006D7344" w:rsidRPr="00695065">
        <w:t>secure forensic hospital beds</w:t>
      </w:r>
      <w:r w:rsidR="007177A7" w:rsidRPr="00695065">
        <w:t xml:space="preserve"> </w:t>
      </w:r>
      <w:r w:rsidR="007C36B6" w:rsidRPr="00695065">
        <w:t>in</w:t>
      </w:r>
      <w:r w:rsidR="00AF33D3" w:rsidRPr="00695065">
        <w:t xml:space="preserve"> a</w:t>
      </w:r>
      <w:r w:rsidR="007C36B6" w:rsidRPr="00695065">
        <w:t xml:space="preserve"> designated mental health servic</w:t>
      </w:r>
      <w:r w:rsidR="00AF33D3" w:rsidRPr="00695065">
        <w:t xml:space="preserve">e </w:t>
      </w:r>
      <w:r w:rsidR="00937DFD" w:rsidRPr="00695065">
        <w:t>(</w:t>
      </w:r>
      <w:r w:rsidR="00AF33D3" w:rsidRPr="00695065">
        <w:t>or services</w:t>
      </w:r>
      <w:r w:rsidR="00937DFD" w:rsidRPr="00695065">
        <w:t>)</w:t>
      </w:r>
      <w:r w:rsidR="00AF33D3" w:rsidRPr="00695065">
        <w:t xml:space="preserve"> for the compulsory treatment of prisoners where required.</w:t>
      </w:r>
    </w:p>
    <w:p w14:paraId="2CA186D5" w14:textId="754C8F87" w:rsidR="00E941A9" w:rsidRPr="00293D08" w:rsidRDefault="00E941A9" w:rsidP="00293D08">
      <w:pPr>
        <w:shd w:val="clear" w:color="auto" w:fill="DEEAF6" w:themeFill="accent5" w:themeFillTint="33"/>
        <w:ind w:left="426"/>
      </w:pPr>
      <w:r w:rsidRPr="00293D08">
        <w:t>See also recommendation 41: Youth forensic mental health response.</w:t>
      </w:r>
    </w:p>
    <w:p w14:paraId="75127AAE" w14:textId="6F40C170" w:rsidR="00846755" w:rsidRPr="00B245B7" w:rsidRDefault="00846755" w:rsidP="00846755">
      <w:pPr>
        <w:pStyle w:val="Heading3"/>
      </w:pPr>
      <w:bookmarkStart w:id="3810" w:name="_Toc41333803"/>
      <w:bookmarkStart w:id="3811" w:name="_Toc40124942"/>
      <w:bookmarkStart w:id="3812" w:name="_Toc40124944"/>
      <w:bookmarkEnd w:id="3810"/>
      <w:r w:rsidRPr="00B245B7" w:rsidDel="00B34009">
        <w:t xml:space="preserve">Improve </w:t>
      </w:r>
      <w:r>
        <w:t>A</w:t>
      </w:r>
      <w:r w:rsidRPr="00B245B7">
        <w:t xml:space="preserve">ccess to assessment, </w:t>
      </w:r>
      <w:r w:rsidR="00565DF0">
        <w:t xml:space="preserve">voluntary </w:t>
      </w:r>
      <w:r w:rsidRPr="00B245B7">
        <w:t>treatment and therapeutic supports in custody</w:t>
      </w:r>
      <w:bookmarkEnd w:id="3811"/>
    </w:p>
    <w:p w14:paraId="60F96197" w14:textId="20F8E69E" w:rsidR="00846755" w:rsidRDefault="00846755" w:rsidP="00846755">
      <w:r w:rsidRPr="00F207E3">
        <w:t>The growing offender and prison population in Victoria has added to the challenges of health care and support for people experiencing mental health issue</w:t>
      </w:r>
      <w:r w:rsidRPr="00A90D2D">
        <w:t>s in the criminal justice system.</w:t>
      </w:r>
      <w:r w:rsidRPr="00A90D2D">
        <w:rPr>
          <w:rStyle w:val="FootnoteReference"/>
          <w:rFonts w:eastAsia="Arial"/>
        </w:rPr>
        <w:footnoteReference w:id="208"/>
      </w:r>
      <w:r w:rsidRPr="00A90D2D">
        <w:t xml:space="preserve"> Impacts range from delays in assessments for sentencing decisions (delaying finalisation of proceedings), to delays in custodial intake assessment and screening for mental health issues.</w:t>
      </w:r>
      <w:r w:rsidRPr="00A90D2D">
        <w:rPr>
          <w:rStyle w:val="FootnoteReference"/>
          <w:rFonts w:eastAsiaTheme="majorEastAsia"/>
        </w:rPr>
        <w:footnoteReference w:id="209"/>
      </w:r>
      <w:r w:rsidRPr="00A90D2D">
        <w:t xml:space="preserve"> </w:t>
      </w:r>
      <w:r w:rsidR="00565DF0" w:rsidRPr="00F207E3">
        <w:t>When a person is not able to access support at the level and intensity they require</w:t>
      </w:r>
      <w:r w:rsidR="00565DF0">
        <w:t>,</w:t>
      </w:r>
      <w:r w:rsidR="00565DF0" w:rsidRPr="00F207E3">
        <w:t xml:space="preserve"> there is an impact on their stabilisation, recovery and wellbeing.</w:t>
      </w:r>
      <w:r w:rsidR="00565DF0" w:rsidRPr="00F207E3">
        <w:rPr>
          <w:rStyle w:val="FootnoteReference"/>
          <w:rFonts w:eastAsiaTheme="majorEastAsia"/>
        </w:rPr>
        <w:footnoteReference w:id="210"/>
      </w:r>
    </w:p>
    <w:p w14:paraId="1FC577AF" w14:textId="424E697F" w:rsidR="00B54714" w:rsidRDefault="00B54714" w:rsidP="00B54714">
      <w:pPr>
        <w:rPr>
          <w:lang w:eastAsia="en-AU"/>
        </w:rPr>
      </w:pPr>
      <w:r w:rsidRPr="003C4D69">
        <w:rPr>
          <w:lang w:eastAsia="en-AU"/>
        </w:rPr>
        <w:lastRenderedPageBreak/>
        <w:t xml:space="preserve">The flow on impact of insufficient forensic mental health beds is that more prisoners with mental health issues </w:t>
      </w:r>
      <w:r>
        <w:rPr>
          <w:lang w:eastAsia="en-AU"/>
        </w:rPr>
        <w:t xml:space="preserve">are incarcerated </w:t>
      </w:r>
      <w:r w:rsidRPr="003C4D69">
        <w:rPr>
          <w:lang w:eastAsia="en-AU"/>
        </w:rPr>
        <w:t>in mainstream prison facilities.</w:t>
      </w:r>
      <w:r w:rsidRPr="00EC3D0E">
        <w:rPr>
          <w:lang w:eastAsia="en-AU"/>
        </w:rPr>
        <w:t xml:space="preserve"> </w:t>
      </w:r>
      <w:proofErr w:type="spellStart"/>
      <w:r w:rsidRPr="003C4D69">
        <w:rPr>
          <w:lang w:eastAsia="en-AU"/>
        </w:rPr>
        <w:t>Forensicare</w:t>
      </w:r>
      <w:proofErr w:type="spellEnd"/>
      <w:r w:rsidRPr="003C4D69">
        <w:rPr>
          <w:lang w:eastAsia="en-AU"/>
        </w:rPr>
        <w:t xml:space="preserve"> </w:t>
      </w:r>
      <w:r>
        <w:rPr>
          <w:lang w:eastAsia="en-AU"/>
        </w:rPr>
        <w:t xml:space="preserve">has </w:t>
      </w:r>
      <w:r w:rsidRPr="003C4D69">
        <w:rPr>
          <w:lang w:eastAsia="en-AU"/>
        </w:rPr>
        <w:t>highlight</w:t>
      </w:r>
      <w:r>
        <w:rPr>
          <w:lang w:eastAsia="en-AU"/>
        </w:rPr>
        <w:t>ed</w:t>
      </w:r>
      <w:r w:rsidRPr="003C4D69">
        <w:rPr>
          <w:lang w:eastAsia="en-AU"/>
        </w:rPr>
        <w:t xml:space="preserve"> that inadequate treatment of a prisoner’s mental health issues during imprisonment in general corrections facilities can </w:t>
      </w:r>
      <w:r w:rsidR="003224BD">
        <w:rPr>
          <w:lang w:eastAsia="en-AU"/>
        </w:rPr>
        <w:t>‘</w:t>
      </w:r>
      <w:r w:rsidRPr="003C4D69">
        <w:rPr>
          <w:lang w:eastAsia="en-AU"/>
        </w:rPr>
        <w:t>have adverse effects on their health and wellbeing and in turn, their rehabilitation and ability to effectively reintegrate into the community.</w:t>
      </w:r>
      <w:r w:rsidR="003224BD">
        <w:rPr>
          <w:lang w:eastAsia="en-AU"/>
        </w:rPr>
        <w:t>’</w:t>
      </w:r>
      <w:r w:rsidRPr="003C4D69">
        <w:rPr>
          <w:vertAlign w:val="superscript"/>
          <w:lang w:eastAsia="en-AU"/>
        </w:rPr>
        <w:footnoteReference w:id="211"/>
      </w:r>
      <w:r>
        <w:rPr>
          <w:lang w:eastAsia="en-AU"/>
        </w:rPr>
        <w:t xml:space="preserve"> </w:t>
      </w:r>
    </w:p>
    <w:p w14:paraId="78710C54" w14:textId="77777777" w:rsidR="00846755" w:rsidRPr="003C4D69" w:rsidRDefault="00846755" w:rsidP="00846755">
      <w:pPr>
        <w:rPr>
          <w:lang w:eastAsia="en-AU"/>
        </w:rPr>
      </w:pPr>
      <w:r w:rsidRPr="003C4D69">
        <w:rPr>
          <w:lang w:eastAsia="en-AU"/>
        </w:rPr>
        <w:t xml:space="preserve">Overcrowding and custodial management practices, such as lockdowns and rotations, the use of solitary confinement and irregular access to programs and support can have a direct and harmful impact on people with mental health conditions. </w:t>
      </w:r>
      <w:r>
        <w:rPr>
          <w:lang w:eastAsia="en-AU"/>
        </w:rPr>
        <w:t>These practices can both cause and exacerbate mental health issues</w:t>
      </w:r>
      <w:r w:rsidRPr="003C4D69">
        <w:rPr>
          <w:lang w:eastAsia="en-AU"/>
        </w:rPr>
        <w:t>.</w:t>
      </w:r>
      <w:r w:rsidRPr="003C4D69">
        <w:rPr>
          <w:vertAlign w:val="superscript"/>
          <w:lang w:eastAsia="en-AU"/>
        </w:rPr>
        <w:footnoteReference w:id="212"/>
      </w:r>
      <w:r w:rsidRPr="003C4D69">
        <w:rPr>
          <w:lang w:eastAsia="en-AU"/>
        </w:rPr>
        <w:t xml:space="preserve"> </w:t>
      </w:r>
    </w:p>
    <w:p w14:paraId="36655BE9" w14:textId="400DD492" w:rsidR="00846755" w:rsidRPr="001028B6" w:rsidRDefault="00695065" w:rsidP="00E350A3">
      <w:pPr>
        <w:shd w:val="clear" w:color="auto" w:fill="DEEAF6" w:themeFill="accent5" w:themeFillTint="33"/>
        <w:ind w:left="426"/>
      </w:pPr>
      <w:bookmarkStart w:id="3813" w:name="_Toc41412025"/>
      <w:r w:rsidRPr="00B9060C">
        <w:rPr>
          <w:b/>
          <w:bCs/>
        </w:rPr>
        <w:t xml:space="preserve">Recommendation </w:t>
      </w:r>
      <w:r>
        <w:rPr>
          <w:b/>
          <w:bCs/>
        </w:rPr>
        <w:t>56:</w:t>
      </w:r>
      <w:r w:rsidR="000833C6">
        <w:rPr>
          <w:b/>
          <w:bCs/>
        </w:rPr>
        <w:tab/>
      </w:r>
      <w:r>
        <w:rPr>
          <w:b/>
          <w:bCs/>
        </w:rPr>
        <w:t xml:space="preserve"> </w:t>
      </w:r>
      <w:r w:rsidR="00846755" w:rsidRPr="00695065">
        <w:rPr>
          <w:b/>
          <w:bCs/>
        </w:rPr>
        <w:t>Improve mental health assessment and treatment in custody</w:t>
      </w:r>
      <w:bookmarkEnd w:id="3813"/>
    </w:p>
    <w:p w14:paraId="06111ADC" w14:textId="1938751A" w:rsidR="00B32BD6" w:rsidRPr="00695065" w:rsidRDefault="00B32BD6" w:rsidP="00E350A3">
      <w:pPr>
        <w:shd w:val="clear" w:color="auto" w:fill="DEEAF6" w:themeFill="accent5" w:themeFillTint="33"/>
        <w:ind w:left="426"/>
      </w:pPr>
      <w:r w:rsidRPr="00695065">
        <w:t xml:space="preserve">The Victorian Government should </w:t>
      </w:r>
      <w:r w:rsidR="005D3035" w:rsidRPr="00695065">
        <w:t xml:space="preserve">resource a </w:t>
      </w:r>
      <w:proofErr w:type="gramStart"/>
      <w:r w:rsidR="005D3035" w:rsidRPr="00695065">
        <w:t xml:space="preserve">sufficient </w:t>
      </w:r>
      <w:r w:rsidR="00937DFD" w:rsidRPr="00695065">
        <w:t>number of</w:t>
      </w:r>
      <w:proofErr w:type="gramEnd"/>
      <w:r w:rsidR="00937DFD" w:rsidRPr="00695065">
        <w:t xml:space="preserve"> specialist beds for voluntary mental health treatment while in custody.</w:t>
      </w:r>
    </w:p>
    <w:p w14:paraId="6983C7B8" w14:textId="4BB97CC6" w:rsidR="00846755" w:rsidRPr="00E350A3" w:rsidRDefault="00846755" w:rsidP="00E350A3">
      <w:pPr>
        <w:shd w:val="clear" w:color="auto" w:fill="DEEAF6" w:themeFill="accent5" w:themeFillTint="33"/>
        <w:ind w:left="426"/>
      </w:pPr>
      <w:r w:rsidRPr="00695065">
        <w:t>Corrections Victoria should improve access to voluntary assessment, treatment and therapeutic supports in custody.</w:t>
      </w:r>
    </w:p>
    <w:p w14:paraId="25CF6D66" w14:textId="26668E36" w:rsidR="00A32EAE" w:rsidRDefault="00BE6543">
      <w:pPr>
        <w:pStyle w:val="Heading2"/>
      </w:pPr>
      <w:bookmarkStart w:id="3814" w:name="_Toc41651978"/>
      <w:r>
        <w:t>T</w:t>
      </w:r>
      <w:r w:rsidRPr="00B245B7">
        <w:t>ransition planning</w:t>
      </w:r>
      <w:r>
        <w:t xml:space="preserve"> </w:t>
      </w:r>
      <w:r w:rsidRPr="00B245B7">
        <w:t>and therapeutic supports</w:t>
      </w:r>
      <w:r w:rsidR="00A32EAE" w:rsidRPr="00C31FFF">
        <w:t xml:space="preserve"> to </w:t>
      </w:r>
      <w:r w:rsidR="00A32EAE">
        <w:t>exit the criminal system</w:t>
      </w:r>
      <w:bookmarkEnd w:id="3812"/>
      <w:bookmarkEnd w:id="3814"/>
      <w:r w:rsidR="00A32EAE">
        <w:t xml:space="preserve"> </w:t>
      </w:r>
    </w:p>
    <w:p w14:paraId="048689FD" w14:textId="1CB1450F" w:rsidR="003D76D3" w:rsidRPr="00F207E3" w:rsidRDefault="00A32EAE" w:rsidP="003D76D3">
      <w:pPr>
        <w:ind w:left="-5"/>
      </w:pPr>
      <w:r w:rsidRPr="00F207E3">
        <w:t xml:space="preserve">In our experience, proper </w:t>
      </w:r>
      <w:r>
        <w:t xml:space="preserve">transition </w:t>
      </w:r>
      <w:r w:rsidRPr="00F207E3">
        <w:t xml:space="preserve">support upon release </w:t>
      </w:r>
      <w:r>
        <w:t xml:space="preserve">into the </w:t>
      </w:r>
      <w:r w:rsidRPr="009322B9">
        <w:rPr>
          <w:rFonts w:cs="Arial"/>
          <w:lang w:eastAsia="en-AU"/>
        </w:rPr>
        <w:t xml:space="preserve">community </w:t>
      </w:r>
      <w:r w:rsidRPr="00F207E3">
        <w:t>is critical to averting relapses</w:t>
      </w:r>
      <w:r>
        <w:rPr>
          <w:rFonts w:cs="Arial"/>
          <w:lang w:eastAsia="en-AU"/>
        </w:rPr>
        <w:t xml:space="preserve"> and </w:t>
      </w:r>
      <w:r w:rsidRPr="009322B9">
        <w:rPr>
          <w:rFonts w:cs="Arial"/>
          <w:lang w:eastAsia="en-AU"/>
        </w:rPr>
        <w:t>reduc</w:t>
      </w:r>
      <w:r>
        <w:rPr>
          <w:rFonts w:cs="Arial"/>
          <w:lang w:eastAsia="en-AU"/>
        </w:rPr>
        <w:t xml:space="preserve">ing the </w:t>
      </w:r>
      <w:r w:rsidRPr="009322B9">
        <w:rPr>
          <w:rFonts w:cs="Arial"/>
          <w:lang w:eastAsia="en-AU"/>
        </w:rPr>
        <w:t>risk of re-entry back into the justice system</w:t>
      </w:r>
      <w:r>
        <w:rPr>
          <w:rFonts w:cs="Arial"/>
          <w:lang w:eastAsia="en-AU"/>
        </w:rPr>
        <w:t>.</w:t>
      </w:r>
      <w:r w:rsidR="0032309E" w:rsidRPr="0032309E">
        <w:rPr>
          <w:rStyle w:val="FootnoteReference"/>
          <w:rFonts w:eastAsia="Arial"/>
        </w:rPr>
        <w:footnoteReference w:id="213"/>
      </w:r>
      <w:r>
        <w:rPr>
          <w:rFonts w:cs="Arial"/>
          <w:lang w:eastAsia="en-AU"/>
        </w:rPr>
        <w:t xml:space="preserve"> Y</w:t>
      </w:r>
      <w:r w:rsidRPr="00F207E3">
        <w:t xml:space="preserve">et our clients are </w:t>
      </w:r>
      <w:r>
        <w:t xml:space="preserve">often </w:t>
      </w:r>
      <w:r w:rsidRPr="00F207E3">
        <w:t>released into the community with</w:t>
      </w:r>
      <w:r>
        <w:t>out</w:t>
      </w:r>
      <w:r w:rsidRPr="00F207E3">
        <w:t xml:space="preserve"> supports. </w:t>
      </w:r>
      <w:r w:rsidR="003D76D3">
        <w:t>Following parole law changes there has been an increasing number of prisoners facing straight release from prison without supervision or formal post-release support in the community, even after serving lengthy sentences.</w:t>
      </w:r>
      <w:r w:rsidR="003D76D3">
        <w:rPr>
          <w:rStyle w:val="FootnoteReference"/>
          <w:rFonts w:eastAsia="Arial"/>
        </w:rPr>
        <w:footnoteReference w:id="214"/>
      </w:r>
      <w:r w:rsidR="003D76D3">
        <w:t xml:space="preserve"> Prisoners subject to short terms of imprisonment are not eligible for parole</w:t>
      </w:r>
      <w:r w:rsidR="003D76D3" w:rsidRPr="00F207E3">
        <w:t>,</w:t>
      </w:r>
      <w:r w:rsidR="003D76D3" w:rsidRPr="00F207E3">
        <w:rPr>
          <w:rStyle w:val="FootnoteReference"/>
          <w:rFonts w:eastAsia="Arial"/>
        </w:rPr>
        <w:footnoteReference w:id="215"/>
      </w:r>
      <w:r w:rsidR="003D76D3">
        <w:t xml:space="preserve"> and are unlikely to be able to access transition support services given the wait times and length of time taken to organise entry into the limited spots</w:t>
      </w:r>
      <w:r w:rsidR="003D76D3" w:rsidRPr="00393DD3">
        <w:rPr>
          <w:rFonts w:cs="Arial"/>
        </w:rPr>
        <w:t>.</w:t>
      </w:r>
      <w:r w:rsidR="003D76D3">
        <w:rPr>
          <w:rStyle w:val="FootnoteReference"/>
          <w:rFonts w:cs="Arial"/>
        </w:rPr>
        <w:footnoteReference w:id="216"/>
      </w:r>
      <w:r w:rsidR="003D76D3">
        <w:rPr>
          <w:rFonts w:cs="Arial"/>
        </w:rPr>
        <w:t xml:space="preserve"> </w:t>
      </w:r>
    </w:p>
    <w:p w14:paraId="26BC25E4" w14:textId="71B5F646" w:rsidR="00D36E3D" w:rsidRPr="00D36E3D" w:rsidRDefault="00A32EAE" w:rsidP="009B3975">
      <w:pPr>
        <w:rPr>
          <w:rFonts w:eastAsia="Arial" w:cs="Arial"/>
        </w:rPr>
      </w:pPr>
      <w:r w:rsidRPr="00F207E3">
        <w:t>People released from prison are admitted to hospital at higher rates for mental health issues and substance use disorders than the general population,</w:t>
      </w:r>
      <w:r w:rsidRPr="00F207E3">
        <w:rPr>
          <w:rStyle w:val="FootnoteReference"/>
          <w:rFonts w:eastAsia="Arial"/>
        </w:rPr>
        <w:footnoteReference w:id="217"/>
      </w:r>
      <w:r w:rsidRPr="00F207E3">
        <w:t xml:space="preserve"> and are at risk of poor health outcomes including an increased risk of death by preventable causes</w:t>
      </w:r>
      <w:r w:rsidR="0052440C">
        <w:t>, such as suicide and overdose,</w:t>
      </w:r>
      <w:r w:rsidRPr="00F207E3">
        <w:t xml:space="preserve"> compared to the general population</w:t>
      </w:r>
      <w:r w:rsidR="003D76D3">
        <w:t>.</w:t>
      </w:r>
      <w:r w:rsidRPr="00F207E3">
        <w:rPr>
          <w:rStyle w:val="FootnoteReference"/>
          <w:rFonts w:ascii="Calibri" w:eastAsia="Arial" w:hAnsi="Calibri"/>
        </w:rPr>
        <w:footnoteReference w:id="218"/>
      </w:r>
      <w:r w:rsidRPr="00F207E3">
        <w:t xml:space="preserve"> </w:t>
      </w:r>
      <w:r w:rsidR="00BB7A80" w:rsidRPr="005161B1">
        <w:rPr>
          <w:rFonts w:eastAsia="Arial" w:cs="Arial"/>
        </w:rPr>
        <w:t>VLA supports increased funding of programs like the Judy Laz</w:t>
      </w:r>
      <w:r w:rsidR="0009665F">
        <w:rPr>
          <w:rFonts w:eastAsia="Arial" w:cs="Arial"/>
        </w:rPr>
        <w:t>a</w:t>
      </w:r>
      <w:r w:rsidR="00BB7A80" w:rsidRPr="005161B1">
        <w:rPr>
          <w:rFonts w:eastAsia="Arial" w:cs="Arial"/>
        </w:rPr>
        <w:t xml:space="preserve">rus </w:t>
      </w:r>
      <w:r w:rsidR="00BB7A80" w:rsidRPr="005161B1">
        <w:rPr>
          <w:rFonts w:eastAsia="Arial" w:cs="Arial"/>
        </w:rPr>
        <w:lastRenderedPageBreak/>
        <w:t>Transition Centre</w:t>
      </w:r>
      <w:r w:rsidR="00BB7A80" w:rsidRPr="00A8527E">
        <w:rPr>
          <w:rFonts w:cs="Arial"/>
          <w:vertAlign w:val="superscript"/>
        </w:rPr>
        <w:footnoteReference w:id="219"/>
      </w:r>
      <w:r w:rsidR="00BB7A80" w:rsidRPr="005161B1">
        <w:rPr>
          <w:rFonts w:eastAsia="Arial" w:cs="Arial"/>
        </w:rPr>
        <w:t xml:space="preserve"> </w:t>
      </w:r>
      <w:r w:rsidR="00BB7A80">
        <w:rPr>
          <w:rFonts w:eastAsia="Arial" w:cs="Arial"/>
        </w:rPr>
        <w:t xml:space="preserve">and </w:t>
      </w:r>
      <w:proofErr w:type="spellStart"/>
      <w:r w:rsidR="00BB7A80">
        <w:rPr>
          <w:rFonts w:eastAsia="Arial" w:cs="Arial"/>
        </w:rPr>
        <w:t>Forensicare’s</w:t>
      </w:r>
      <w:proofErr w:type="spellEnd"/>
      <w:r w:rsidR="00BB7A80">
        <w:rPr>
          <w:rFonts w:eastAsia="Arial" w:cs="Arial"/>
        </w:rPr>
        <w:t xml:space="preserve"> Tambo program,</w:t>
      </w:r>
      <w:r w:rsidR="00BB7A80">
        <w:rPr>
          <w:rStyle w:val="FootnoteReference"/>
          <w:rFonts w:eastAsia="Arial" w:cs="Arial"/>
        </w:rPr>
        <w:footnoteReference w:id="220"/>
      </w:r>
      <w:r w:rsidR="00BB7A80">
        <w:rPr>
          <w:rFonts w:eastAsia="Arial" w:cs="Arial"/>
        </w:rPr>
        <w:t xml:space="preserve"> to </w:t>
      </w:r>
      <w:r w:rsidR="00BB7A80" w:rsidRPr="005161B1">
        <w:rPr>
          <w:rFonts w:eastAsia="Arial" w:cs="Arial"/>
        </w:rPr>
        <w:t>facilitate re-integration into the community.</w:t>
      </w:r>
    </w:p>
    <w:p w14:paraId="56AFC0F1" w14:textId="492BC432" w:rsidR="009C2ADA" w:rsidRDefault="009C2ADA" w:rsidP="004F7C7B">
      <w:pPr>
        <w:ind w:left="-5"/>
        <w:rPr>
          <w:rFonts w:eastAsia="Arial" w:cs="Arial"/>
        </w:rPr>
      </w:pPr>
      <w:r>
        <w:rPr>
          <w:rFonts w:eastAsia="Arial" w:cs="Arial"/>
        </w:rPr>
        <w:t xml:space="preserve">We note above the importance of secure and stable housing for people released from custody and recommend this be addressed at </w:t>
      </w:r>
      <w:r w:rsidR="003224BD">
        <w:rPr>
          <w:rFonts w:eastAsia="Arial" w:cs="Arial"/>
        </w:rPr>
        <w:t xml:space="preserve">recommendation 18. </w:t>
      </w:r>
    </w:p>
    <w:p w14:paraId="7E8CC5A4" w14:textId="12E3FCC9" w:rsidR="00A32EAE" w:rsidRPr="001028B6" w:rsidRDefault="00695065" w:rsidP="00E350A3">
      <w:pPr>
        <w:shd w:val="clear" w:color="auto" w:fill="DEEAF6" w:themeFill="accent5" w:themeFillTint="33"/>
        <w:ind w:left="426"/>
      </w:pPr>
      <w:bookmarkStart w:id="3815" w:name="_Hlk40134283"/>
      <w:bookmarkStart w:id="3816" w:name="_Toc40355791"/>
      <w:bookmarkStart w:id="3817" w:name="_Toc41325439"/>
      <w:bookmarkStart w:id="3818" w:name="_Toc41332848"/>
      <w:bookmarkStart w:id="3819" w:name="_Toc41412026"/>
      <w:r w:rsidRPr="00B9060C">
        <w:rPr>
          <w:b/>
          <w:bCs/>
        </w:rPr>
        <w:t xml:space="preserve">Recommendation </w:t>
      </w:r>
      <w:r>
        <w:rPr>
          <w:b/>
          <w:bCs/>
        </w:rPr>
        <w:t xml:space="preserve">57: </w:t>
      </w:r>
      <w:r w:rsidR="000833C6">
        <w:rPr>
          <w:b/>
          <w:bCs/>
        </w:rPr>
        <w:tab/>
      </w:r>
      <w:r w:rsidR="00856A7C" w:rsidRPr="00695065">
        <w:rPr>
          <w:b/>
          <w:bCs/>
        </w:rPr>
        <w:t>Improve t</w:t>
      </w:r>
      <w:r w:rsidR="00A32EAE" w:rsidRPr="00695065">
        <w:rPr>
          <w:b/>
          <w:bCs/>
        </w:rPr>
        <w:t>ransition planning and exit support</w:t>
      </w:r>
      <w:bookmarkEnd w:id="3815"/>
      <w:bookmarkEnd w:id="3816"/>
      <w:bookmarkEnd w:id="3817"/>
      <w:bookmarkEnd w:id="3818"/>
      <w:bookmarkEnd w:id="3819"/>
    </w:p>
    <w:p w14:paraId="5FA57CFF" w14:textId="77777777" w:rsidR="00BB7A80" w:rsidRPr="00695065" w:rsidRDefault="00BB7A80" w:rsidP="00E350A3">
      <w:pPr>
        <w:shd w:val="clear" w:color="auto" w:fill="DEEAF6" w:themeFill="accent5" w:themeFillTint="33"/>
        <w:ind w:left="426"/>
      </w:pPr>
      <w:r w:rsidRPr="00695065">
        <w:t>The Victorian Government should:</w:t>
      </w:r>
    </w:p>
    <w:p w14:paraId="2D093EA1" w14:textId="2F127B12" w:rsidR="00695065" w:rsidRPr="00695065" w:rsidRDefault="00BB7A80" w:rsidP="00984FB7">
      <w:pPr>
        <w:pStyle w:val="ListParagraph"/>
        <w:numPr>
          <w:ilvl w:val="0"/>
          <w:numId w:val="22"/>
        </w:numPr>
        <w:shd w:val="clear" w:color="auto" w:fill="DEEAF6" w:themeFill="accent5" w:themeFillTint="33"/>
        <w:spacing w:line="360" w:lineRule="auto"/>
        <w:ind w:left="851" w:hanging="425"/>
      </w:pPr>
      <w:r w:rsidRPr="00695065">
        <w:t>r</w:t>
      </w:r>
      <w:r w:rsidR="00A32EAE" w:rsidRPr="00695065">
        <w:t>esource practical transition support for people exiting custody</w:t>
      </w:r>
      <w:r w:rsidRPr="00695065">
        <w:t>;</w:t>
      </w:r>
    </w:p>
    <w:p w14:paraId="1EFA8528" w14:textId="611AE937" w:rsidR="00E350A3" w:rsidRPr="00695065" w:rsidRDefault="00BB7A80" w:rsidP="00984FB7">
      <w:pPr>
        <w:pStyle w:val="ListParagraph"/>
        <w:numPr>
          <w:ilvl w:val="0"/>
          <w:numId w:val="22"/>
        </w:numPr>
        <w:shd w:val="clear" w:color="auto" w:fill="DEEAF6" w:themeFill="accent5" w:themeFillTint="33"/>
        <w:spacing w:line="360" w:lineRule="auto"/>
        <w:ind w:left="851" w:hanging="425"/>
      </w:pPr>
      <w:r w:rsidRPr="00695065">
        <w:t>i</w:t>
      </w:r>
      <w:r w:rsidR="00A32EAE" w:rsidRPr="00695065">
        <w:t>mprove access to supervision or parole upon release</w:t>
      </w:r>
      <w:r w:rsidRPr="00695065">
        <w:t>; and</w:t>
      </w:r>
    </w:p>
    <w:p w14:paraId="3B8CB872" w14:textId="63A3EE7B" w:rsidR="00706B9C" w:rsidRPr="00E350A3" w:rsidRDefault="00BB7A80" w:rsidP="00984FB7">
      <w:pPr>
        <w:pStyle w:val="ListParagraph"/>
        <w:numPr>
          <w:ilvl w:val="0"/>
          <w:numId w:val="22"/>
        </w:numPr>
        <w:shd w:val="clear" w:color="auto" w:fill="DEEAF6" w:themeFill="accent5" w:themeFillTint="33"/>
        <w:spacing w:line="360" w:lineRule="auto"/>
        <w:ind w:left="851" w:hanging="425"/>
      </w:pPr>
      <w:r w:rsidRPr="00695065">
        <w:t>i</w:t>
      </w:r>
      <w:r w:rsidR="00A32EAE" w:rsidRPr="00695065">
        <w:t>mprove transition planning and continuity of care with post-release supports.</w:t>
      </w:r>
    </w:p>
    <w:p w14:paraId="50390763" w14:textId="77777777" w:rsidR="00532449" w:rsidRDefault="00532449" w:rsidP="00E350A3">
      <w:pPr>
        <w:spacing w:after="0" w:line="240" w:lineRule="auto"/>
        <w:ind w:left="360"/>
        <w:rPr>
          <w:rFonts w:cs="Arial"/>
          <w:b/>
          <w:bCs/>
          <w:color w:val="216E96"/>
          <w:kern w:val="32"/>
          <w:sz w:val="32"/>
          <w:szCs w:val="32"/>
          <w:lang w:eastAsia="en-AU"/>
        </w:rPr>
      </w:pPr>
      <w:bookmarkStart w:id="3820" w:name="_Toc40256860"/>
      <w:bookmarkStart w:id="3821" w:name="_Toc40121298"/>
      <w:bookmarkStart w:id="3822" w:name="_Toc40126394"/>
      <w:bookmarkStart w:id="3823" w:name="_Toc40178273"/>
      <w:bookmarkStart w:id="3824" w:name="_Toc40186457"/>
      <w:bookmarkStart w:id="3825" w:name="_Toc40186867"/>
      <w:bookmarkStart w:id="3826" w:name="_Toc40215877"/>
      <w:bookmarkStart w:id="3827" w:name="_Toc40216521"/>
      <w:bookmarkStart w:id="3828" w:name="_Toc40217138"/>
      <w:bookmarkStart w:id="3829" w:name="_Toc40217760"/>
      <w:bookmarkStart w:id="3830" w:name="_Toc40218381"/>
      <w:bookmarkStart w:id="3831" w:name="_Toc40246240"/>
      <w:bookmarkStart w:id="3832" w:name="_Toc40246896"/>
      <w:bookmarkStart w:id="3833" w:name="_Toc40247810"/>
      <w:bookmarkStart w:id="3834" w:name="_Toc40248336"/>
      <w:bookmarkStart w:id="3835" w:name="_Toc40248863"/>
      <w:bookmarkStart w:id="3836" w:name="_Toc40249983"/>
      <w:bookmarkStart w:id="3837" w:name="_Toc40251751"/>
      <w:bookmarkStart w:id="3838" w:name="_Toc40256861"/>
      <w:bookmarkStart w:id="3839" w:name="_Toc40121299"/>
      <w:bookmarkStart w:id="3840" w:name="_Toc40126395"/>
      <w:bookmarkStart w:id="3841" w:name="_Toc40178274"/>
      <w:bookmarkStart w:id="3842" w:name="_Toc40186458"/>
      <w:bookmarkStart w:id="3843" w:name="_Toc40186868"/>
      <w:bookmarkStart w:id="3844" w:name="_Toc40215878"/>
      <w:bookmarkStart w:id="3845" w:name="_Toc40216522"/>
      <w:bookmarkStart w:id="3846" w:name="_Toc40217139"/>
      <w:bookmarkStart w:id="3847" w:name="_Toc40217761"/>
      <w:bookmarkStart w:id="3848" w:name="_Toc40218382"/>
      <w:bookmarkStart w:id="3849" w:name="_Toc40246241"/>
      <w:bookmarkStart w:id="3850" w:name="_Toc40246897"/>
      <w:bookmarkStart w:id="3851" w:name="_Toc40247811"/>
      <w:bookmarkStart w:id="3852" w:name="_Toc40248337"/>
      <w:bookmarkStart w:id="3853" w:name="_Toc40248864"/>
      <w:bookmarkStart w:id="3854" w:name="_Toc40249984"/>
      <w:bookmarkStart w:id="3855" w:name="_Toc40251752"/>
      <w:bookmarkStart w:id="3856" w:name="_Toc40256862"/>
      <w:bookmarkStart w:id="3857" w:name="_Toc40121300"/>
      <w:bookmarkStart w:id="3858" w:name="_Toc40126396"/>
      <w:bookmarkStart w:id="3859" w:name="_Toc40178275"/>
      <w:bookmarkStart w:id="3860" w:name="_Toc40186459"/>
      <w:bookmarkStart w:id="3861" w:name="_Toc40186869"/>
      <w:bookmarkStart w:id="3862" w:name="_Toc40215879"/>
      <w:bookmarkStart w:id="3863" w:name="_Toc40216523"/>
      <w:bookmarkStart w:id="3864" w:name="_Toc40217140"/>
      <w:bookmarkStart w:id="3865" w:name="_Toc40217762"/>
      <w:bookmarkStart w:id="3866" w:name="_Toc40218383"/>
      <w:bookmarkStart w:id="3867" w:name="_Toc40246242"/>
      <w:bookmarkStart w:id="3868" w:name="_Toc40246898"/>
      <w:bookmarkStart w:id="3869" w:name="_Toc40247812"/>
      <w:bookmarkStart w:id="3870" w:name="_Toc40248338"/>
      <w:bookmarkStart w:id="3871" w:name="_Toc40248865"/>
      <w:bookmarkStart w:id="3872" w:name="_Toc40249985"/>
      <w:bookmarkStart w:id="3873" w:name="_Toc40251753"/>
      <w:bookmarkStart w:id="3874" w:name="_Toc40256863"/>
      <w:bookmarkStart w:id="3875" w:name="_Toc40217141"/>
      <w:bookmarkStart w:id="3876" w:name="_Toc40217763"/>
      <w:bookmarkStart w:id="3877" w:name="_Toc40218384"/>
      <w:bookmarkStart w:id="3878" w:name="_Toc40246243"/>
      <w:bookmarkStart w:id="3879" w:name="_Toc40246899"/>
      <w:bookmarkStart w:id="3880" w:name="_Toc40247813"/>
      <w:bookmarkStart w:id="3881" w:name="_Toc40248339"/>
      <w:bookmarkStart w:id="3882" w:name="_Toc40248866"/>
      <w:bookmarkStart w:id="3883" w:name="_Toc40249986"/>
      <w:bookmarkStart w:id="3884" w:name="_Toc40251754"/>
      <w:bookmarkStart w:id="3885" w:name="_Toc40217142"/>
      <w:bookmarkStart w:id="3886" w:name="_Toc40217764"/>
      <w:bookmarkStart w:id="3887" w:name="_Toc40218385"/>
      <w:bookmarkStart w:id="3888" w:name="_Toc40246244"/>
      <w:bookmarkStart w:id="3889" w:name="_Toc40246900"/>
      <w:bookmarkStart w:id="3890" w:name="_Toc40247814"/>
      <w:bookmarkStart w:id="3891" w:name="_Toc40248340"/>
      <w:bookmarkStart w:id="3892" w:name="_Toc40248867"/>
      <w:bookmarkStart w:id="3893" w:name="_Toc40249987"/>
      <w:bookmarkStart w:id="3894" w:name="_Toc40251755"/>
      <w:bookmarkStart w:id="3895" w:name="_Toc40217143"/>
      <w:bookmarkStart w:id="3896" w:name="_Toc40217765"/>
      <w:bookmarkStart w:id="3897" w:name="_Toc40218386"/>
      <w:bookmarkStart w:id="3898" w:name="_Toc40246245"/>
      <w:bookmarkStart w:id="3899" w:name="_Toc40246901"/>
      <w:bookmarkStart w:id="3900" w:name="_Toc40247815"/>
      <w:bookmarkStart w:id="3901" w:name="_Toc40248341"/>
      <w:bookmarkStart w:id="3902" w:name="_Toc40248868"/>
      <w:bookmarkStart w:id="3903" w:name="_Toc40249988"/>
      <w:bookmarkStart w:id="3904" w:name="_Toc40251756"/>
      <w:bookmarkStart w:id="3905" w:name="_Toc40217144"/>
      <w:bookmarkStart w:id="3906" w:name="_Toc40217766"/>
      <w:bookmarkStart w:id="3907" w:name="_Toc40218387"/>
      <w:bookmarkStart w:id="3908" w:name="_Toc40246246"/>
      <w:bookmarkStart w:id="3909" w:name="_Toc40246902"/>
      <w:bookmarkStart w:id="3910" w:name="_Toc40247816"/>
      <w:bookmarkStart w:id="3911" w:name="_Toc40248342"/>
      <w:bookmarkStart w:id="3912" w:name="_Toc40248869"/>
      <w:bookmarkStart w:id="3913" w:name="_Toc40249989"/>
      <w:bookmarkStart w:id="3914" w:name="_Toc40251757"/>
      <w:bookmarkStart w:id="3915" w:name="_Toc40256864"/>
      <w:bookmarkStart w:id="3916" w:name="_Toc40256865"/>
      <w:bookmarkStart w:id="3917" w:name="_Toc40256866"/>
      <w:bookmarkStart w:id="3918" w:name="_Toc40256867"/>
      <w:bookmarkStart w:id="3919" w:name="_Toc40256869"/>
      <w:bookmarkStart w:id="3920" w:name="_Toc40256871"/>
      <w:bookmarkStart w:id="3921" w:name="_Toc40215883"/>
      <w:bookmarkStart w:id="3922" w:name="_Toc40216527"/>
      <w:bookmarkStart w:id="3923" w:name="_Toc40217148"/>
      <w:bookmarkStart w:id="3924" w:name="_Toc40217770"/>
      <w:bookmarkStart w:id="3925" w:name="_Toc40218391"/>
      <w:bookmarkStart w:id="3926" w:name="_Toc40246250"/>
      <w:bookmarkStart w:id="3927" w:name="_Toc40246906"/>
      <w:bookmarkStart w:id="3928" w:name="_Toc40247820"/>
      <w:bookmarkStart w:id="3929" w:name="_Toc40248346"/>
      <w:bookmarkStart w:id="3930" w:name="_Toc40248873"/>
      <w:bookmarkStart w:id="3931" w:name="_Toc40249993"/>
      <w:bookmarkStart w:id="3932" w:name="_Toc40251761"/>
      <w:bookmarkStart w:id="3933" w:name="_Toc40256873"/>
      <w:bookmarkStart w:id="3934" w:name="_Toc40215884"/>
      <w:bookmarkStart w:id="3935" w:name="_Toc40216528"/>
      <w:bookmarkStart w:id="3936" w:name="_Toc40217149"/>
      <w:bookmarkStart w:id="3937" w:name="_Toc40217771"/>
      <w:bookmarkStart w:id="3938" w:name="_Toc40218392"/>
      <w:bookmarkStart w:id="3939" w:name="_Toc40246251"/>
      <w:bookmarkStart w:id="3940" w:name="_Toc40246907"/>
      <w:bookmarkStart w:id="3941" w:name="_Toc40247821"/>
      <w:bookmarkStart w:id="3942" w:name="_Toc40248347"/>
      <w:bookmarkStart w:id="3943" w:name="_Toc40248874"/>
      <w:bookmarkStart w:id="3944" w:name="_Toc40249994"/>
      <w:bookmarkStart w:id="3945" w:name="_Toc40251762"/>
      <w:bookmarkStart w:id="3946" w:name="_Toc40256874"/>
      <w:bookmarkStart w:id="3947" w:name="_Toc40186464"/>
      <w:bookmarkStart w:id="3948" w:name="_Toc40186874"/>
      <w:bookmarkStart w:id="3949" w:name="_Toc40215894"/>
      <w:bookmarkStart w:id="3950" w:name="_Toc40216538"/>
      <w:bookmarkStart w:id="3951" w:name="_Toc40217159"/>
      <w:bookmarkStart w:id="3952" w:name="_Toc40217781"/>
      <w:bookmarkStart w:id="3953" w:name="_Toc40218402"/>
      <w:bookmarkStart w:id="3954" w:name="_Toc40246261"/>
      <w:bookmarkStart w:id="3955" w:name="_Toc40246917"/>
      <w:bookmarkStart w:id="3956" w:name="_Toc40247831"/>
      <w:bookmarkStart w:id="3957" w:name="_Toc40248357"/>
      <w:bookmarkStart w:id="3958" w:name="_Toc40248884"/>
      <w:bookmarkStart w:id="3959" w:name="_Toc40250004"/>
      <w:bookmarkStart w:id="3960" w:name="_Toc40251772"/>
      <w:bookmarkStart w:id="3961" w:name="_Toc40256884"/>
      <w:bookmarkStart w:id="3962" w:name="_Toc40186465"/>
      <w:bookmarkStart w:id="3963" w:name="_Toc40186875"/>
      <w:bookmarkStart w:id="3964" w:name="_Toc40215895"/>
      <w:bookmarkStart w:id="3965" w:name="_Toc40216539"/>
      <w:bookmarkStart w:id="3966" w:name="_Toc40217160"/>
      <w:bookmarkStart w:id="3967" w:name="_Toc40217782"/>
      <w:bookmarkStart w:id="3968" w:name="_Toc40218403"/>
      <w:bookmarkStart w:id="3969" w:name="_Toc40246262"/>
      <w:bookmarkStart w:id="3970" w:name="_Toc40246918"/>
      <w:bookmarkStart w:id="3971" w:name="_Toc40247832"/>
      <w:bookmarkStart w:id="3972" w:name="_Toc40248358"/>
      <w:bookmarkStart w:id="3973" w:name="_Toc40248885"/>
      <w:bookmarkStart w:id="3974" w:name="_Toc40250005"/>
      <w:bookmarkStart w:id="3975" w:name="_Toc40251773"/>
      <w:bookmarkStart w:id="3976" w:name="_Toc40256885"/>
      <w:bookmarkStart w:id="3977" w:name="_Toc40186466"/>
      <w:bookmarkStart w:id="3978" w:name="_Toc40186876"/>
      <w:bookmarkStart w:id="3979" w:name="_Toc40215896"/>
      <w:bookmarkStart w:id="3980" w:name="_Toc40216540"/>
      <w:bookmarkStart w:id="3981" w:name="_Toc40217161"/>
      <w:bookmarkStart w:id="3982" w:name="_Toc40217783"/>
      <w:bookmarkStart w:id="3983" w:name="_Toc40218404"/>
      <w:bookmarkStart w:id="3984" w:name="_Toc40246263"/>
      <w:bookmarkStart w:id="3985" w:name="_Toc40246919"/>
      <w:bookmarkStart w:id="3986" w:name="_Toc40247833"/>
      <w:bookmarkStart w:id="3987" w:name="_Toc40248359"/>
      <w:bookmarkStart w:id="3988" w:name="_Toc40248886"/>
      <w:bookmarkStart w:id="3989" w:name="_Toc40250006"/>
      <w:bookmarkStart w:id="3990" w:name="_Toc40251774"/>
      <w:bookmarkStart w:id="3991" w:name="_Toc40256886"/>
      <w:bookmarkStart w:id="3992" w:name="_Toc40186467"/>
      <w:bookmarkStart w:id="3993" w:name="_Toc40186877"/>
      <w:bookmarkStart w:id="3994" w:name="_Toc40215897"/>
      <w:bookmarkStart w:id="3995" w:name="_Toc40216541"/>
      <w:bookmarkStart w:id="3996" w:name="_Toc40217162"/>
      <w:bookmarkStart w:id="3997" w:name="_Toc40217784"/>
      <w:bookmarkStart w:id="3998" w:name="_Toc40218405"/>
      <w:bookmarkStart w:id="3999" w:name="_Toc40246264"/>
      <w:bookmarkStart w:id="4000" w:name="_Toc40246920"/>
      <w:bookmarkStart w:id="4001" w:name="_Toc40247834"/>
      <w:bookmarkStart w:id="4002" w:name="_Toc40248360"/>
      <w:bookmarkStart w:id="4003" w:name="_Toc40248887"/>
      <w:bookmarkStart w:id="4004" w:name="_Toc40250007"/>
      <w:bookmarkStart w:id="4005" w:name="_Toc40251775"/>
      <w:bookmarkStart w:id="4006" w:name="_Toc40256887"/>
      <w:bookmarkStart w:id="4007" w:name="_Toc40186468"/>
      <w:bookmarkStart w:id="4008" w:name="_Toc40186878"/>
      <w:bookmarkStart w:id="4009" w:name="_Toc40215898"/>
      <w:bookmarkStart w:id="4010" w:name="_Toc40216542"/>
      <w:bookmarkStart w:id="4011" w:name="_Toc40217163"/>
      <w:bookmarkStart w:id="4012" w:name="_Toc40217785"/>
      <w:bookmarkStart w:id="4013" w:name="_Toc40218406"/>
      <w:bookmarkStart w:id="4014" w:name="_Toc40246265"/>
      <w:bookmarkStart w:id="4015" w:name="_Toc40246921"/>
      <w:bookmarkStart w:id="4016" w:name="_Toc40247835"/>
      <w:bookmarkStart w:id="4017" w:name="_Toc40248361"/>
      <w:bookmarkStart w:id="4018" w:name="_Toc40248888"/>
      <w:bookmarkStart w:id="4019" w:name="_Toc40250008"/>
      <w:bookmarkStart w:id="4020" w:name="_Toc40251776"/>
      <w:bookmarkStart w:id="4021" w:name="_Toc40256888"/>
      <w:bookmarkStart w:id="4022" w:name="_Toc40215899"/>
      <w:bookmarkStart w:id="4023" w:name="_Toc40216543"/>
      <w:bookmarkStart w:id="4024" w:name="_Toc40217164"/>
      <w:bookmarkStart w:id="4025" w:name="_Toc40217786"/>
      <w:bookmarkStart w:id="4026" w:name="_Toc40218407"/>
      <w:bookmarkStart w:id="4027" w:name="_Toc40246266"/>
      <w:bookmarkStart w:id="4028" w:name="_Toc40246922"/>
      <w:bookmarkStart w:id="4029" w:name="_Toc40247836"/>
      <w:bookmarkStart w:id="4030" w:name="_Toc40248362"/>
      <w:bookmarkStart w:id="4031" w:name="_Toc40248889"/>
      <w:bookmarkStart w:id="4032" w:name="_Toc40250009"/>
      <w:bookmarkStart w:id="4033" w:name="_Toc40251777"/>
      <w:bookmarkStart w:id="4034" w:name="_Toc40256889"/>
      <w:bookmarkStart w:id="4035" w:name="_Toc40215900"/>
      <w:bookmarkStart w:id="4036" w:name="_Toc40216544"/>
      <w:bookmarkStart w:id="4037" w:name="_Toc40217165"/>
      <w:bookmarkStart w:id="4038" w:name="_Toc40217787"/>
      <w:bookmarkStart w:id="4039" w:name="_Toc40218408"/>
      <w:bookmarkStart w:id="4040" w:name="_Toc40246267"/>
      <w:bookmarkStart w:id="4041" w:name="_Toc40246923"/>
      <w:bookmarkStart w:id="4042" w:name="_Toc40247837"/>
      <w:bookmarkStart w:id="4043" w:name="_Toc40248363"/>
      <w:bookmarkStart w:id="4044" w:name="_Toc40248890"/>
      <w:bookmarkStart w:id="4045" w:name="_Toc40250010"/>
      <w:bookmarkStart w:id="4046" w:name="_Toc40251778"/>
      <w:bookmarkStart w:id="4047" w:name="_Toc40256890"/>
      <w:bookmarkStart w:id="4048" w:name="_Toc40215901"/>
      <w:bookmarkStart w:id="4049" w:name="_Toc40216545"/>
      <w:bookmarkStart w:id="4050" w:name="_Toc40217166"/>
      <w:bookmarkStart w:id="4051" w:name="_Toc40217788"/>
      <w:bookmarkStart w:id="4052" w:name="_Toc40218409"/>
      <w:bookmarkStart w:id="4053" w:name="_Toc40246268"/>
      <w:bookmarkStart w:id="4054" w:name="_Toc40246924"/>
      <w:bookmarkStart w:id="4055" w:name="_Toc40247838"/>
      <w:bookmarkStart w:id="4056" w:name="_Toc40248364"/>
      <w:bookmarkStart w:id="4057" w:name="_Toc40248891"/>
      <w:bookmarkStart w:id="4058" w:name="_Toc40250011"/>
      <w:bookmarkStart w:id="4059" w:name="_Toc40251779"/>
      <w:bookmarkStart w:id="4060" w:name="_Toc40256891"/>
      <w:bookmarkStart w:id="4061" w:name="_Toc40215902"/>
      <w:bookmarkStart w:id="4062" w:name="_Toc40216546"/>
      <w:bookmarkStart w:id="4063" w:name="_Toc40217167"/>
      <w:bookmarkStart w:id="4064" w:name="_Toc40217789"/>
      <w:bookmarkStart w:id="4065" w:name="_Toc40218410"/>
      <w:bookmarkStart w:id="4066" w:name="_Toc40246269"/>
      <w:bookmarkStart w:id="4067" w:name="_Toc40246925"/>
      <w:bookmarkStart w:id="4068" w:name="_Toc40247839"/>
      <w:bookmarkStart w:id="4069" w:name="_Toc40248365"/>
      <w:bookmarkStart w:id="4070" w:name="_Toc40248892"/>
      <w:bookmarkStart w:id="4071" w:name="_Toc40250012"/>
      <w:bookmarkStart w:id="4072" w:name="_Toc40251780"/>
      <w:bookmarkStart w:id="4073" w:name="_Toc40256892"/>
      <w:bookmarkStart w:id="4074" w:name="_Toc40215903"/>
      <w:bookmarkStart w:id="4075" w:name="_Toc40216547"/>
      <w:bookmarkStart w:id="4076" w:name="_Toc40217168"/>
      <w:bookmarkStart w:id="4077" w:name="_Toc40217790"/>
      <w:bookmarkStart w:id="4078" w:name="_Toc40218411"/>
      <w:bookmarkStart w:id="4079" w:name="_Toc40246270"/>
      <w:bookmarkStart w:id="4080" w:name="_Toc40246926"/>
      <w:bookmarkStart w:id="4081" w:name="_Toc40247840"/>
      <w:bookmarkStart w:id="4082" w:name="_Toc40248366"/>
      <w:bookmarkStart w:id="4083" w:name="_Toc40248893"/>
      <w:bookmarkStart w:id="4084" w:name="_Toc40250013"/>
      <w:bookmarkStart w:id="4085" w:name="_Toc40251781"/>
      <w:bookmarkStart w:id="4086" w:name="_Toc40256893"/>
      <w:bookmarkStart w:id="4087" w:name="_Toc40215904"/>
      <w:bookmarkStart w:id="4088" w:name="_Toc40216548"/>
      <w:bookmarkStart w:id="4089" w:name="_Toc40217169"/>
      <w:bookmarkStart w:id="4090" w:name="_Toc40217791"/>
      <w:bookmarkStart w:id="4091" w:name="_Toc40218412"/>
      <w:bookmarkStart w:id="4092" w:name="_Toc40246271"/>
      <w:bookmarkStart w:id="4093" w:name="_Toc40246927"/>
      <w:bookmarkStart w:id="4094" w:name="_Toc40247841"/>
      <w:bookmarkStart w:id="4095" w:name="_Toc40248367"/>
      <w:bookmarkStart w:id="4096" w:name="_Toc40248894"/>
      <w:bookmarkStart w:id="4097" w:name="_Toc40250014"/>
      <w:bookmarkStart w:id="4098" w:name="_Toc40251782"/>
      <w:bookmarkStart w:id="4099" w:name="_Toc40256894"/>
      <w:bookmarkStart w:id="4100" w:name="_Toc40215905"/>
      <w:bookmarkStart w:id="4101" w:name="_Toc40216549"/>
      <w:bookmarkStart w:id="4102" w:name="_Toc40217170"/>
      <w:bookmarkStart w:id="4103" w:name="_Toc40217792"/>
      <w:bookmarkStart w:id="4104" w:name="_Toc40218413"/>
      <w:bookmarkStart w:id="4105" w:name="_Toc40246272"/>
      <w:bookmarkStart w:id="4106" w:name="_Toc40246928"/>
      <w:bookmarkStart w:id="4107" w:name="_Toc40247842"/>
      <w:bookmarkStart w:id="4108" w:name="_Toc40248368"/>
      <w:bookmarkStart w:id="4109" w:name="_Toc40248895"/>
      <w:bookmarkStart w:id="4110" w:name="_Toc40250015"/>
      <w:bookmarkStart w:id="4111" w:name="_Toc40251783"/>
      <w:bookmarkStart w:id="4112" w:name="_Toc40256895"/>
      <w:bookmarkStart w:id="4113" w:name="_Toc40215906"/>
      <w:bookmarkStart w:id="4114" w:name="_Toc40216550"/>
      <w:bookmarkStart w:id="4115" w:name="_Toc40217171"/>
      <w:bookmarkStart w:id="4116" w:name="_Toc40217793"/>
      <w:bookmarkStart w:id="4117" w:name="_Toc40218414"/>
      <w:bookmarkStart w:id="4118" w:name="_Toc40246273"/>
      <w:bookmarkStart w:id="4119" w:name="_Toc40246929"/>
      <w:bookmarkStart w:id="4120" w:name="_Toc40247843"/>
      <w:bookmarkStart w:id="4121" w:name="_Toc40248369"/>
      <w:bookmarkStart w:id="4122" w:name="_Toc40248896"/>
      <w:bookmarkStart w:id="4123" w:name="_Toc40250016"/>
      <w:bookmarkStart w:id="4124" w:name="_Toc40251784"/>
      <w:bookmarkStart w:id="4125" w:name="_Toc40256896"/>
      <w:bookmarkStart w:id="4126" w:name="_Toc40215907"/>
      <w:bookmarkStart w:id="4127" w:name="_Toc40216551"/>
      <w:bookmarkStart w:id="4128" w:name="_Toc40217172"/>
      <w:bookmarkStart w:id="4129" w:name="_Toc40217794"/>
      <w:bookmarkStart w:id="4130" w:name="_Toc40218415"/>
      <w:bookmarkStart w:id="4131" w:name="_Toc40246274"/>
      <w:bookmarkStart w:id="4132" w:name="_Toc40246930"/>
      <w:bookmarkStart w:id="4133" w:name="_Toc40247844"/>
      <w:bookmarkStart w:id="4134" w:name="_Toc40248370"/>
      <w:bookmarkStart w:id="4135" w:name="_Toc40248897"/>
      <w:bookmarkStart w:id="4136" w:name="_Toc40250017"/>
      <w:bookmarkStart w:id="4137" w:name="_Toc40251785"/>
      <w:bookmarkStart w:id="4138" w:name="_Toc40256897"/>
      <w:bookmarkStart w:id="4139" w:name="_Toc40215908"/>
      <w:bookmarkStart w:id="4140" w:name="_Toc40216552"/>
      <w:bookmarkStart w:id="4141" w:name="_Toc40217173"/>
      <w:bookmarkStart w:id="4142" w:name="_Toc40217795"/>
      <w:bookmarkStart w:id="4143" w:name="_Toc40218416"/>
      <w:bookmarkStart w:id="4144" w:name="_Toc40246275"/>
      <w:bookmarkStart w:id="4145" w:name="_Toc40246931"/>
      <w:bookmarkStart w:id="4146" w:name="_Toc40247845"/>
      <w:bookmarkStart w:id="4147" w:name="_Toc40248371"/>
      <w:bookmarkStart w:id="4148" w:name="_Toc40248898"/>
      <w:bookmarkStart w:id="4149" w:name="_Toc40250018"/>
      <w:bookmarkStart w:id="4150" w:name="_Toc40251786"/>
      <w:bookmarkStart w:id="4151" w:name="_Toc40256898"/>
      <w:bookmarkStart w:id="4152" w:name="_Toc40215909"/>
      <w:bookmarkStart w:id="4153" w:name="_Toc40216553"/>
      <w:bookmarkStart w:id="4154" w:name="_Toc40217174"/>
      <w:bookmarkStart w:id="4155" w:name="_Toc40217796"/>
      <w:bookmarkStart w:id="4156" w:name="_Toc40218417"/>
      <w:bookmarkStart w:id="4157" w:name="_Toc40246276"/>
      <w:bookmarkStart w:id="4158" w:name="_Toc40246932"/>
      <w:bookmarkStart w:id="4159" w:name="_Toc40247846"/>
      <w:bookmarkStart w:id="4160" w:name="_Toc40248372"/>
      <w:bookmarkStart w:id="4161" w:name="_Toc40248899"/>
      <w:bookmarkStart w:id="4162" w:name="_Toc40250019"/>
      <w:bookmarkStart w:id="4163" w:name="_Toc40251787"/>
      <w:bookmarkStart w:id="4164" w:name="_Toc40256899"/>
      <w:bookmarkStart w:id="4165" w:name="_Toc40215910"/>
      <w:bookmarkStart w:id="4166" w:name="_Toc40216554"/>
      <w:bookmarkStart w:id="4167" w:name="_Toc40217175"/>
      <w:bookmarkStart w:id="4168" w:name="_Toc40217797"/>
      <w:bookmarkStart w:id="4169" w:name="_Toc40218418"/>
      <w:bookmarkStart w:id="4170" w:name="_Toc40246277"/>
      <w:bookmarkStart w:id="4171" w:name="_Toc40246933"/>
      <w:bookmarkStart w:id="4172" w:name="_Toc40247847"/>
      <w:bookmarkStart w:id="4173" w:name="_Toc40248373"/>
      <w:bookmarkStart w:id="4174" w:name="_Toc40248900"/>
      <w:bookmarkStart w:id="4175" w:name="_Toc40250020"/>
      <w:bookmarkStart w:id="4176" w:name="_Toc40251788"/>
      <w:bookmarkStart w:id="4177" w:name="_Toc40256900"/>
      <w:bookmarkStart w:id="4178" w:name="_Toc40215911"/>
      <w:bookmarkStart w:id="4179" w:name="_Toc40216555"/>
      <w:bookmarkStart w:id="4180" w:name="_Toc40217176"/>
      <w:bookmarkStart w:id="4181" w:name="_Toc40217798"/>
      <w:bookmarkStart w:id="4182" w:name="_Toc40218419"/>
      <w:bookmarkStart w:id="4183" w:name="_Toc40246278"/>
      <w:bookmarkStart w:id="4184" w:name="_Toc40246934"/>
      <w:bookmarkStart w:id="4185" w:name="_Toc40247848"/>
      <w:bookmarkStart w:id="4186" w:name="_Toc40248374"/>
      <w:bookmarkStart w:id="4187" w:name="_Toc40248901"/>
      <w:bookmarkStart w:id="4188" w:name="_Toc40250021"/>
      <w:bookmarkStart w:id="4189" w:name="_Toc40251789"/>
      <w:bookmarkStart w:id="4190" w:name="_Toc40256901"/>
      <w:bookmarkStart w:id="4191" w:name="_Toc40215912"/>
      <w:bookmarkStart w:id="4192" w:name="_Toc40216556"/>
      <w:bookmarkStart w:id="4193" w:name="_Toc40217177"/>
      <w:bookmarkStart w:id="4194" w:name="_Toc40217799"/>
      <w:bookmarkStart w:id="4195" w:name="_Toc40218420"/>
      <w:bookmarkStart w:id="4196" w:name="_Toc40246279"/>
      <w:bookmarkStart w:id="4197" w:name="_Toc40246935"/>
      <w:bookmarkStart w:id="4198" w:name="_Toc40247849"/>
      <w:bookmarkStart w:id="4199" w:name="_Toc40248375"/>
      <w:bookmarkStart w:id="4200" w:name="_Toc40248902"/>
      <w:bookmarkStart w:id="4201" w:name="_Toc40250022"/>
      <w:bookmarkStart w:id="4202" w:name="_Toc40251790"/>
      <w:bookmarkStart w:id="4203" w:name="_Toc40256902"/>
      <w:bookmarkStart w:id="4204" w:name="_Toc40215913"/>
      <w:bookmarkStart w:id="4205" w:name="_Toc40216557"/>
      <w:bookmarkStart w:id="4206" w:name="_Toc40217178"/>
      <w:bookmarkStart w:id="4207" w:name="_Toc40217800"/>
      <w:bookmarkStart w:id="4208" w:name="_Toc40218421"/>
      <w:bookmarkStart w:id="4209" w:name="_Toc40246280"/>
      <w:bookmarkStart w:id="4210" w:name="_Toc40246936"/>
      <w:bookmarkStart w:id="4211" w:name="_Toc40247850"/>
      <w:bookmarkStart w:id="4212" w:name="_Toc40248376"/>
      <w:bookmarkStart w:id="4213" w:name="_Toc40248903"/>
      <w:bookmarkStart w:id="4214" w:name="_Toc40250023"/>
      <w:bookmarkStart w:id="4215" w:name="_Toc40251791"/>
      <w:bookmarkStart w:id="4216" w:name="_Toc40256903"/>
      <w:bookmarkStart w:id="4217" w:name="_Toc40215914"/>
      <w:bookmarkStart w:id="4218" w:name="_Toc40216558"/>
      <w:bookmarkStart w:id="4219" w:name="_Toc40217179"/>
      <w:bookmarkStart w:id="4220" w:name="_Toc40217801"/>
      <w:bookmarkStart w:id="4221" w:name="_Toc40218422"/>
      <w:bookmarkStart w:id="4222" w:name="_Toc40246281"/>
      <w:bookmarkStart w:id="4223" w:name="_Toc40246937"/>
      <w:bookmarkStart w:id="4224" w:name="_Toc40247851"/>
      <w:bookmarkStart w:id="4225" w:name="_Toc40248377"/>
      <w:bookmarkStart w:id="4226" w:name="_Toc40248904"/>
      <w:bookmarkStart w:id="4227" w:name="_Toc40250024"/>
      <w:bookmarkStart w:id="4228" w:name="_Toc40251792"/>
      <w:bookmarkStart w:id="4229" w:name="_Toc40256904"/>
      <w:bookmarkStart w:id="4230" w:name="_Toc40215915"/>
      <w:bookmarkStart w:id="4231" w:name="_Toc40216559"/>
      <w:bookmarkStart w:id="4232" w:name="_Toc40217180"/>
      <w:bookmarkStart w:id="4233" w:name="_Toc40217802"/>
      <w:bookmarkStart w:id="4234" w:name="_Toc40218423"/>
      <w:bookmarkStart w:id="4235" w:name="_Toc40246282"/>
      <w:bookmarkStart w:id="4236" w:name="_Toc40246938"/>
      <w:bookmarkStart w:id="4237" w:name="_Toc40247852"/>
      <w:bookmarkStart w:id="4238" w:name="_Toc40248378"/>
      <w:bookmarkStart w:id="4239" w:name="_Toc40248905"/>
      <w:bookmarkStart w:id="4240" w:name="_Toc40250025"/>
      <w:bookmarkStart w:id="4241" w:name="_Toc40251793"/>
      <w:bookmarkStart w:id="4242" w:name="_Toc40256905"/>
      <w:bookmarkStart w:id="4243" w:name="_Toc40215916"/>
      <w:bookmarkStart w:id="4244" w:name="_Toc40216560"/>
      <w:bookmarkStart w:id="4245" w:name="_Toc40217181"/>
      <w:bookmarkStart w:id="4246" w:name="_Toc40217803"/>
      <w:bookmarkStart w:id="4247" w:name="_Toc40218424"/>
      <w:bookmarkStart w:id="4248" w:name="_Toc40246283"/>
      <w:bookmarkStart w:id="4249" w:name="_Toc40246939"/>
      <w:bookmarkStart w:id="4250" w:name="_Toc40247853"/>
      <w:bookmarkStart w:id="4251" w:name="_Toc40248379"/>
      <w:bookmarkStart w:id="4252" w:name="_Toc40248906"/>
      <w:bookmarkStart w:id="4253" w:name="_Toc40250026"/>
      <w:bookmarkStart w:id="4254" w:name="_Toc40251794"/>
      <w:bookmarkStart w:id="4255" w:name="_Toc40256906"/>
      <w:bookmarkStart w:id="4256" w:name="_Toc40215917"/>
      <w:bookmarkStart w:id="4257" w:name="_Toc40216561"/>
      <w:bookmarkStart w:id="4258" w:name="_Toc40217182"/>
      <w:bookmarkStart w:id="4259" w:name="_Toc40217804"/>
      <w:bookmarkStart w:id="4260" w:name="_Toc40218425"/>
      <w:bookmarkStart w:id="4261" w:name="_Toc40246284"/>
      <w:bookmarkStart w:id="4262" w:name="_Toc40246940"/>
      <w:bookmarkStart w:id="4263" w:name="_Toc40247854"/>
      <w:bookmarkStart w:id="4264" w:name="_Toc40248380"/>
      <w:bookmarkStart w:id="4265" w:name="_Toc40248907"/>
      <w:bookmarkStart w:id="4266" w:name="_Toc40250027"/>
      <w:bookmarkStart w:id="4267" w:name="_Toc40251795"/>
      <w:bookmarkStart w:id="4268" w:name="_Toc40256907"/>
      <w:bookmarkStart w:id="4269" w:name="_Toc40215919"/>
      <w:bookmarkStart w:id="4270" w:name="_Toc40216563"/>
      <w:bookmarkStart w:id="4271" w:name="_Toc40217184"/>
      <w:bookmarkStart w:id="4272" w:name="_Toc40217806"/>
      <w:bookmarkStart w:id="4273" w:name="_Toc40218427"/>
      <w:bookmarkStart w:id="4274" w:name="_Toc40246286"/>
      <w:bookmarkStart w:id="4275" w:name="_Toc40246942"/>
      <w:bookmarkStart w:id="4276" w:name="_Toc40247856"/>
      <w:bookmarkStart w:id="4277" w:name="_Toc40248382"/>
      <w:bookmarkStart w:id="4278" w:name="_Toc40248909"/>
      <w:bookmarkStart w:id="4279" w:name="_Toc40250029"/>
      <w:bookmarkStart w:id="4280" w:name="_Toc40251797"/>
      <w:bookmarkStart w:id="4281" w:name="_Toc40256909"/>
      <w:bookmarkStart w:id="4282" w:name="_Toc40215920"/>
      <w:bookmarkStart w:id="4283" w:name="_Toc40216564"/>
      <w:bookmarkStart w:id="4284" w:name="_Toc40217185"/>
      <w:bookmarkStart w:id="4285" w:name="_Toc40217807"/>
      <w:bookmarkStart w:id="4286" w:name="_Toc40218428"/>
      <w:bookmarkStart w:id="4287" w:name="_Toc40246287"/>
      <w:bookmarkStart w:id="4288" w:name="_Toc40246943"/>
      <w:bookmarkStart w:id="4289" w:name="_Toc40247857"/>
      <w:bookmarkStart w:id="4290" w:name="_Toc40248383"/>
      <w:bookmarkStart w:id="4291" w:name="_Toc40248910"/>
      <w:bookmarkStart w:id="4292" w:name="_Toc40250030"/>
      <w:bookmarkStart w:id="4293" w:name="_Toc40251798"/>
      <w:bookmarkStart w:id="4294" w:name="_Toc40256910"/>
      <w:bookmarkStart w:id="4295" w:name="_Toc40215921"/>
      <w:bookmarkStart w:id="4296" w:name="_Toc40216565"/>
      <w:bookmarkStart w:id="4297" w:name="_Toc40217186"/>
      <w:bookmarkStart w:id="4298" w:name="_Toc40217808"/>
      <w:bookmarkStart w:id="4299" w:name="_Toc40218429"/>
      <w:bookmarkStart w:id="4300" w:name="_Toc40246288"/>
      <w:bookmarkStart w:id="4301" w:name="_Toc40246944"/>
      <w:bookmarkStart w:id="4302" w:name="_Toc40247858"/>
      <w:bookmarkStart w:id="4303" w:name="_Toc40248384"/>
      <w:bookmarkStart w:id="4304" w:name="_Toc40248911"/>
      <w:bookmarkStart w:id="4305" w:name="_Toc40250031"/>
      <w:bookmarkStart w:id="4306" w:name="_Toc40251799"/>
      <w:bookmarkStart w:id="4307" w:name="_Toc40256911"/>
      <w:bookmarkStart w:id="4308" w:name="_Toc40215922"/>
      <w:bookmarkStart w:id="4309" w:name="_Toc40216566"/>
      <w:bookmarkStart w:id="4310" w:name="_Toc40217187"/>
      <w:bookmarkStart w:id="4311" w:name="_Toc40217809"/>
      <w:bookmarkStart w:id="4312" w:name="_Toc40218430"/>
      <w:bookmarkStart w:id="4313" w:name="_Toc40246289"/>
      <w:bookmarkStart w:id="4314" w:name="_Toc40246945"/>
      <w:bookmarkStart w:id="4315" w:name="_Toc40247859"/>
      <w:bookmarkStart w:id="4316" w:name="_Toc40248385"/>
      <w:bookmarkStart w:id="4317" w:name="_Toc40248912"/>
      <w:bookmarkStart w:id="4318" w:name="_Toc40250032"/>
      <w:bookmarkStart w:id="4319" w:name="_Toc40251800"/>
      <w:bookmarkStart w:id="4320" w:name="_Toc40256912"/>
      <w:bookmarkStart w:id="4321" w:name="_Toc40215923"/>
      <w:bookmarkStart w:id="4322" w:name="_Toc40216567"/>
      <w:bookmarkStart w:id="4323" w:name="_Toc40217188"/>
      <w:bookmarkStart w:id="4324" w:name="_Toc40217810"/>
      <w:bookmarkStart w:id="4325" w:name="_Toc40218431"/>
      <w:bookmarkStart w:id="4326" w:name="_Toc40246290"/>
      <w:bookmarkStart w:id="4327" w:name="_Toc40246946"/>
      <w:bookmarkStart w:id="4328" w:name="_Toc40247860"/>
      <w:bookmarkStart w:id="4329" w:name="_Toc40248386"/>
      <w:bookmarkStart w:id="4330" w:name="_Toc40248913"/>
      <w:bookmarkStart w:id="4331" w:name="_Toc40250033"/>
      <w:bookmarkStart w:id="4332" w:name="_Toc40251801"/>
      <w:bookmarkStart w:id="4333" w:name="_Toc40256913"/>
      <w:bookmarkStart w:id="4334" w:name="_Toc40215924"/>
      <w:bookmarkStart w:id="4335" w:name="_Toc40216568"/>
      <w:bookmarkStart w:id="4336" w:name="_Toc40217189"/>
      <w:bookmarkStart w:id="4337" w:name="_Toc40217811"/>
      <w:bookmarkStart w:id="4338" w:name="_Toc40218432"/>
      <w:bookmarkStart w:id="4339" w:name="_Toc40246291"/>
      <w:bookmarkStart w:id="4340" w:name="_Toc40246947"/>
      <w:bookmarkStart w:id="4341" w:name="_Toc40247861"/>
      <w:bookmarkStart w:id="4342" w:name="_Toc40248387"/>
      <w:bookmarkStart w:id="4343" w:name="_Toc40248914"/>
      <w:bookmarkStart w:id="4344" w:name="_Toc40250034"/>
      <w:bookmarkStart w:id="4345" w:name="_Toc40251802"/>
      <w:bookmarkStart w:id="4346" w:name="_Toc40256914"/>
      <w:bookmarkStart w:id="4347" w:name="_Toc40215925"/>
      <w:bookmarkStart w:id="4348" w:name="_Toc40216569"/>
      <w:bookmarkStart w:id="4349" w:name="_Toc40217190"/>
      <w:bookmarkStart w:id="4350" w:name="_Toc40217812"/>
      <w:bookmarkStart w:id="4351" w:name="_Toc40218433"/>
      <w:bookmarkStart w:id="4352" w:name="_Toc40246292"/>
      <w:bookmarkStart w:id="4353" w:name="_Toc40246948"/>
      <w:bookmarkStart w:id="4354" w:name="_Toc40247862"/>
      <w:bookmarkStart w:id="4355" w:name="_Toc40248388"/>
      <w:bookmarkStart w:id="4356" w:name="_Toc40248915"/>
      <w:bookmarkStart w:id="4357" w:name="_Toc40250035"/>
      <w:bookmarkStart w:id="4358" w:name="_Toc40251803"/>
      <w:bookmarkStart w:id="4359" w:name="_Toc40256915"/>
      <w:bookmarkStart w:id="4360" w:name="_Toc40215926"/>
      <w:bookmarkStart w:id="4361" w:name="_Toc40216570"/>
      <w:bookmarkStart w:id="4362" w:name="_Toc40217191"/>
      <w:bookmarkStart w:id="4363" w:name="_Toc40217813"/>
      <w:bookmarkStart w:id="4364" w:name="_Toc40218434"/>
      <w:bookmarkStart w:id="4365" w:name="_Toc40246293"/>
      <w:bookmarkStart w:id="4366" w:name="_Toc40246949"/>
      <w:bookmarkStart w:id="4367" w:name="_Toc40247863"/>
      <w:bookmarkStart w:id="4368" w:name="_Toc40248389"/>
      <w:bookmarkStart w:id="4369" w:name="_Toc40248916"/>
      <w:bookmarkStart w:id="4370" w:name="_Toc40250036"/>
      <w:bookmarkStart w:id="4371" w:name="_Toc40251804"/>
      <w:bookmarkStart w:id="4372" w:name="_Toc40256916"/>
      <w:bookmarkStart w:id="4373" w:name="_Toc40215927"/>
      <w:bookmarkStart w:id="4374" w:name="_Toc40216571"/>
      <w:bookmarkStart w:id="4375" w:name="_Toc40217192"/>
      <w:bookmarkStart w:id="4376" w:name="_Toc40217814"/>
      <w:bookmarkStart w:id="4377" w:name="_Toc40218435"/>
      <w:bookmarkStart w:id="4378" w:name="_Toc40246294"/>
      <w:bookmarkStart w:id="4379" w:name="_Toc40246950"/>
      <w:bookmarkStart w:id="4380" w:name="_Toc40247864"/>
      <w:bookmarkStart w:id="4381" w:name="_Toc40248390"/>
      <w:bookmarkStart w:id="4382" w:name="_Toc40248917"/>
      <w:bookmarkStart w:id="4383" w:name="_Toc40250037"/>
      <w:bookmarkStart w:id="4384" w:name="_Toc40251805"/>
      <w:bookmarkStart w:id="4385" w:name="_Toc40256917"/>
      <w:bookmarkStart w:id="4386" w:name="_Toc40215928"/>
      <w:bookmarkStart w:id="4387" w:name="_Toc40216572"/>
      <w:bookmarkStart w:id="4388" w:name="_Toc40217193"/>
      <w:bookmarkStart w:id="4389" w:name="_Toc40217815"/>
      <w:bookmarkStart w:id="4390" w:name="_Toc40218436"/>
      <w:bookmarkStart w:id="4391" w:name="_Toc40246295"/>
      <w:bookmarkStart w:id="4392" w:name="_Toc40246951"/>
      <w:bookmarkStart w:id="4393" w:name="_Toc40247865"/>
      <w:bookmarkStart w:id="4394" w:name="_Toc40248391"/>
      <w:bookmarkStart w:id="4395" w:name="_Toc40248918"/>
      <w:bookmarkStart w:id="4396" w:name="_Toc40250038"/>
      <w:bookmarkStart w:id="4397" w:name="_Toc40251806"/>
      <w:bookmarkStart w:id="4398" w:name="_Toc40256918"/>
      <w:bookmarkStart w:id="4399" w:name="_Toc40215929"/>
      <w:bookmarkStart w:id="4400" w:name="_Toc40216573"/>
      <w:bookmarkStart w:id="4401" w:name="_Toc40217194"/>
      <w:bookmarkStart w:id="4402" w:name="_Toc40217816"/>
      <w:bookmarkStart w:id="4403" w:name="_Toc40218437"/>
      <w:bookmarkStart w:id="4404" w:name="_Toc40246296"/>
      <w:bookmarkStart w:id="4405" w:name="_Toc40246952"/>
      <w:bookmarkStart w:id="4406" w:name="_Toc40247866"/>
      <w:bookmarkStart w:id="4407" w:name="_Toc40248392"/>
      <w:bookmarkStart w:id="4408" w:name="_Toc40248919"/>
      <w:bookmarkStart w:id="4409" w:name="_Toc40250039"/>
      <w:bookmarkStart w:id="4410" w:name="_Toc40251807"/>
      <w:bookmarkStart w:id="4411" w:name="_Toc40256919"/>
      <w:bookmarkStart w:id="4412" w:name="_Toc40215930"/>
      <w:bookmarkStart w:id="4413" w:name="_Toc40216574"/>
      <w:bookmarkStart w:id="4414" w:name="_Toc40217195"/>
      <w:bookmarkStart w:id="4415" w:name="_Toc40217817"/>
      <w:bookmarkStart w:id="4416" w:name="_Toc40218438"/>
      <w:bookmarkStart w:id="4417" w:name="_Toc40246297"/>
      <w:bookmarkStart w:id="4418" w:name="_Toc40246953"/>
      <w:bookmarkStart w:id="4419" w:name="_Toc40247867"/>
      <w:bookmarkStart w:id="4420" w:name="_Toc40248393"/>
      <w:bookmarkStart w:id="4421" w:name="_Toc40248920"/>
      <w:bookmarkStart w:id="4422" w:name="_Toc40250040"/>
      <w:bookmarkStart w:id="4423" w:name="_Toc40251808"/>
      <w:bookmarkStart w:id="4424" w:name="_Toc40256920"/>
      <w:bookmarkStart w:id="4425" w:name="_Toc40215931"/>
      <w:bookmarkStart w:id="4426" w:name="_Toc40216575"/>
      <w:bookmarkStart w:id="4427" w:name="_Toc40217196"/>
      <w:bookmarkStart w:id="4428" w:name="_Toc40217818"/>
      <w:bookmarkStart w:id="4429" w:name="_Toc40218439"/>
      <w:bookmarkStart w:id="4430" w:name="_Toc40246298"/>
      <w:bookmarkStart w:id="4431" w:name="_Toc40246954"/>
      <w:bookmarkStart w:id="4432" w:name="_Toc40247868"/>
      <w:bookmarkStart w:id="4433" w:name="_Toc40248394"/>
      <w:bookmarkStart w:id="4434" w:name="_Toc40248921"/>
      <w:bookmarkStart w:id="4435" w:name="_Toc40250041"/>
      <w:bookmarkStart w:id="4436" w:name="_Toc40251809"/>
      <w:bookmarkStart w:id="4437" w:name="_Toc40256921"/>
      <w:bookmarkStart w:id="4438" w:name="_Toc40215932"/>
      <w:bookmarkStart w:id="4439" w:name="_Toc40216576"/>
      <w:bookmarkStart w:id="4440" w:name="_Toc40217197"/>
      <w:bookmarkStart w:id="4441" w:name="_Toc40217819"/>
      <w:bookmarkStart w:id="4442" w:name="_Toc40218440"/>
      <w:bookmarkStart w:id="4443" w:name="_Toc40246299"/>
      <w:bookmarkStart w:id="4444" w:name="_Toc40246955"/>
      <w:bookmarkStart w:id="4445" w:name="_Toc40247869"/>
      <w:bookmarkStart w:id="4446" w:name="_Toc40248395"/>
      <w:bookmarkStart w:id="4447" w:name="_Toc40248922"/>
      <w:bookmarkStart w:id="4448" w:name="_Toc40250042"/>
      <w:bookmarkStart w:id="4449" w:name="_Toc40251810"/>
      <w:bookmarkStart w:id="4450" w:name="_Toc40256922"/>
      <w:bookmarkStart w:id="4451" w:name="_Toc40215933"/>
      <w:bookmarkStart w:id="4452" w:name="_Toc40216577"/>
      <w:bookmarkStart w:id="4453" w:name="_Toc40217198"/>
      <w:bookmarkStart w:id="4454" w:name="_Toc40217820"/>
      <w:bookmarkStart w:id="4455" w:name="_Toc40218441"/>
      <w:bookmarkStart w:id="4456" w:name="_Toc40246300"/>
      <w:bookmarkStart w:id="4457" w:name="_Toc40246956"/>
      <w:bookmarkStart w:id="4458" w:name="_Toc40247870"/>
      <w:bookmarkStart w:id="4459" w:name="_Toc40248396"/>
      <w:bookmarkStart w:id="4460" w:name="_Toc40248923"/>
      <w:bookmarkStart w:id="4461" w:name="_Toc40250043"/>
      <w:bookmarkStart w:id="4462" w:name="_Toc40251811"/>
      <w:bookmarkStart w:id="4463" w:name="_Toc40256923"/>
      <w:bookmarkStart w:id="4464" w:name="_Toc40215934"/>
      <w:bookmarkStart w:id="4465" w:name="_Toc40216578"/>
      <w:bookmarkStart w:id="4466" w:name="_Toc40217199"/>
      <w:bookmarkStart w:id="4467" w:name="_Toc40217821"/>
      <w:bookmarkStart w:id="4468" w:name="_Toc40218442"/>
      <w:bookmarkStart w:id="4469" w:name="_Toc40246301"/>
      <w:bookmarkStart w:id="4470" w:name="_Toc40246957"/>
      <w:bookmarkStart w:id="4471" w:name="_Toc40247871"/>
      <w:bookmarkStart w:id="4472" w:name="_Toc40248397"/>
      <w:bookmarkStart w:id="4473" w:name="_Toc40248924"/>
      <w:bookmarkStart w:id="4474" w:name="_Toc40250044"/>
      <w:bookmarkStart w:id="4475" w:name="_Toc40251812"/>
      <w:bookmarkStart w:id="4476" w:name="_Toc40256924"/>
      <w:bookmarkStart w:id="4477" w:name="_Toc40215935"/>
      <w:bookmarkStart w:id="4478" w:name="_Toc40216579"/>
      <w:bookmarkStart w:id="4479" w:name="_Toc40217200"/>
      <w:bookmarkStart w:id="4480" w:name="_Toc40217822"/>
      <w:bookmarkStart w:id="4481" w:name="_Toc40218443"/>
      <w:bookmarkStart w:id="4482" w:name="_Toc40246302"/>
      <w:bookmarkStart w:id="4483" w:name="_Toc40246958"/>
      <w:bookmarkStart w:id="4484" w:name="_Toc40247872"/>
      <w:bookmarkStart w:id="4485" w:name="_Toc40248398"/>
      <w:bookmarkStart w:id="4486" w:name="_Toc40248925"/>
      <w:bookmarkStart w:id="4487" w:name="_Toc40250045"/>
      <w:bookmarkStart w:id="4488" w:name="_Toc40251813"/>
      <w:bookmarkStart w:id="4489" w:name="_Toc40256925"/>
      <w:bookmarkStart w:id="4490" w:name="_Toc40215936"/>
      <w:bookmarkStart w:id="4491" w:name="_Toc40216580"/>
      <w:bookmarkStart w:id="4492" w:name="_Toc40217201"/>
      <w:bookmarkStart w:id="4493" w:name="_Toc40217823"/>
      <w:bookmarkStart w:id="4494" w:name="_Toc40218444"/>
      <w:bookmarkStart w:id="4495" w:name="_Toc40246303"/>
      <w:bookmarkStart w:id="4496" w:name="_Toc40246959"/>
      <w:bookmarkStart w:id="4497" w:name="_Toc40247873"/>
      <w:bookmarkStart w:id="4498" w:name="_Toc40248399"/>
      <w:bookmarkStart w:id="4499" w:name="_Toc40248926"/>
      <w:bookmarkStart w:id="4500" w:name="_Toc40250046"/>
      <w:bookmarkStart w:id="4501" w:name="_Toc40251814"/>
      <w:bookmarkStart w:id="4502" w:name="_Toc40256926"/>
      <w:bookmarkStart w:id="4503" w:name="_Toc40215937"/>
      <w:bookmarkStart w:id="4504" w:name="_Toc40216581"/>
      <w:bookmarkStart w:id="4505" w:name="_Toc40217202"/>
      <w:bookmarkStart w:id="4506" w:name="_Toc40217824"/>
      <w:bookmarkStart w:id="4507" w:name="_Toc40218445"/>
      <w:bookmarkStart w:id="4508" w:name="_Toc40246304"/>
      <w:bookmarkStart w:id="4509" w:name="_Toc40246960"/>
      <w:bookmarkStart w:id="4510" w:name="_Toc40247874"/>
      <w:bookmarkStart w:id="4511" w:name="_Toc40248400"/>
      <w:bookmarkStart w:id="4512" w:name="_Toc40248927"/>
      <w:bookmarkStart w:id="4513" w:name="_Toc40250047"/>
      <w:bookmarkStart w:id="4514" w:name="_Toc40251815"/>
      <w:bookmarkStart w:id="4515" w:name="_Toc40256927"/>
      <w:bookmarkStart w:id="4516" w:name="_Toc40215938"/>
      <w:bookmarkStart w:id="4517" w:name="_Toc40216582"/>
      <w:bookmarkStart w:id="4518" w:name="_Toc40217203"/>
      <w:bookmarkStart w:id="4519" w:name="_Toc40217825"/>
      <w:bookmarkStart w:id="4520" w:name="_Toc40218446"/>
      <w:bookmarkStart w:id="4521" w:name="_Toc40246305"/>
      <w:bookmarkStart w:id="4522" w:name="_Toc40246961"/>
      <w:bookmarkStart w:id="4523" w:name="_Toc40247875"/>
      <w:bookmarkStart w:id="4524" w:name="_Toc40248401"/>
      <w:bookmarkStart w:id="4525" w:name="_Toc40248928"/>
      <w:bookmarkStart w:id="4526" w:name="_Toc40250048"/>
      <w:bookmarkStart w:id="4527" w:name="_Toc40251816"/>
      <w:bookmarkStart w:id="4528" w:name="_Toc40256928"/>
      <w:bookmarkStart w:id="4529" w:name="_Toc40215939"/>
      <w:bookmarkStart w:id="4530" w:name="_Toc40216583"/>
      <w:bookmarkStart w:id="4531" w:name="_Toc40217204"/>
      <w:bookmarkStart w:id="4532" w:name="_Toc40217826"/>
      <w:bookmarkStart w:id="4533" w:name="_Toc40218447"/>
      <w:bookmarkStart w:id="4534" w:name="_Toc40246306"/>
      <w:bookmarkStart w:id="4535" w:name="_Toc40246962"/>
      <w:bookmarkStart w:id="4536" w:name="_Toc40247876"/>
      <w:bookmarkStart w:id="4537" w:name="_Toc40248402"/>
      <w:bookmarkStart w:id="4538" w:name="_Toc40248929"/>
      <w:bookmarkStart w:id="4539" w:name="_Toc40250049"/>
      <w:bookmarkStart w:id="4540" w:name="_Toc40251817"/>
      <w:bookmarkStart w:id="4541" w:name="_Toc40256929"/>
      <w:bookmarkStart w:id="4542" w:name="_Toc40215940"/>
      <w:bookmarkStart w:id="4543" w:name="_Toc40216584"/>
      <w:bookmarkStart w:id="4544" w:name="_Toc40217205"/>
      <w:bookmarkStart w:id="4545" w:name="_Toc40217827"/>
      <w:bookmarkStart w:id="4546" w:name="_Toc40218448"/>
      <w:bookmarkStart w:id="4547" w:name="_Toc40246307"/>
      <w:bookmarkStart w:id="4548" w:name="_Toc40246963"/>
      <w:bookmarkStart w:id="4549" w:name="_Toc40247877"/>
      <w:bookmarkStart w:id="4550" w:name="_Toc40248403"/>
      <w:bookmarkStart w:id="4551" w:name="_Toc40248930"/>
      <w:bookmarkStart w:id="4552" w:name="_Toc40250050"/>
      <w:bookmarkStart w:id="4553" w:name="_Toc40251818"/>
      <w:bookmarkStart w:id="4554" w:name="_Toc40256930"/>
      <w:bookmarkStart w:id="4555" w:name="_Toc40215941"/>
      <w:bookmarkStart w:id="4556" w:name="_Toc40216585"/>
      <w:bookmarkStart w:id="4557" w:name="_Toc40217206"/>
      <w:bookmarkStart w:id="4558" w:name="_Toc40217828"/>
      <w:bookmarkStart w:id="4559" w:name="_Toc40218449"/>
      <w:bookmarkStart w:id="4560" w:name="_Toc40246308"/>
      <w:bookmarkStart w:id="4561" w:name="_Toc40246964"/>
      <w:bookmarkStart w:id="4562" w:name="_Toc40247878"/>
      <w:bookmarkStart w:id="4563" w:name="_Toc40248404"/>
      <w:bookmarkStart w:id="4564" w:name="_Toc40248931"/>
      <w:bookmarkStart w:id="4565" w:name="_Toc40250051"/>
      <w:bookmarkStart w:id="4566" w:name="_Toc40251819"/>
      <w:bookmarkStart w:id="4567" w:name="_Toc40256931"/>
      <w:bookmarkStart w:id="4568" w:name="_Toc40215942"/>
      <w:bookmarkStart w:id="4569" w:name="_Toc40216586"/>
      <w:bookmarkStart w:id="4570" w:name="_Toc40217207"/>
      <w:bookmarkStart w:id="4571" w:name="_Toc40217829"/>
      <w:bookmarkStart w:id="4572" w:name="_Toc40218450"/>
      <w:bookmarkStart w:id="4573" w:name="_Toc40246309"/>
      <w:bookmarkStart w:id="4574" w:name="_Toc40246965"/>
      <w:bookmarkStart w:id="4575" w:name="_Toc40247879"/>
      <w:bookmarkStart w:id="4576" w:name="_Toc40248405"/>
      <w:bookmarkStart w:id="4577" w:name="_Toc40248932"/>
      <w:bookmarkStart w:id="4578" w:name="_Toc40250052"/>
      <w:bookmarkStart w:id="4579" w:name="_Toc40251820"/>
      <w:bookmarkStart w:id="4580" w:name="_Toc40256932"/>
      <w:bookmarkStart w:id="4581" w:name="_Toc40215943"/>
      <w:bookmarkStart w:id="4582" w:name="_Toc40216587"/>
      <w:bookmarkStart w:id="4583" w:name="_Toc40217208"/>
      <w:bookmarkStart w:id="4584" w:name="_Toc40217830"/>
      <w:bookmarkStart w:id="4585" w:name="_Toc40218451"/>
      <w:bookmarkStart w:id="4586" w:name="_Toc40246310"/>
      <w:bookmarkStart w:id="4587" w:name="_Toc40246966"/>
      <w:bookmarkStart w:id="4588" w:name="_Toc40247880"/>
      <w:bookmarkStart w:id="4589" w:name="_Toc40248406"/>
      <w:bookmarkStart w:id="4590" w:name="_Toc40248933"/>
      <w:bookmarkStart w:id="4591" w:name="_Toc40250053"/>
      <w:bookmarkStart w:id="4592" w:name="_Toc40251821"/>
      <w:bookmarkStart w:id="4593" w:name="_Toc40256933"/>
      <w:bookmarkStart w:id="4594" w:name="_Toc40215944"/>
      <w:bookmarkStart w:id="4595" w:name="_Toc40216588"/>
      <w:bookmarkStart w:id="4596" w:name="_Toc40217209"/>
      <w:bookmarkStart w:id="4597" w:name="_Toc40217831"/>
      <w:bookmarkStart w:id="4598" w:name="_Toc40218452"/>
      <w:bookmarkStart w:id="4599" w:name="_Toc40246311"/>
      <w:bookmarkStart w:id="4600" w:name="_Toc40246967"/>
      <w:bookmarkStart w:id="4601" w:name="_Toc40247881"/>
      <w:bookmarkStart w:id="4602" w:name="_Toc40248407"/>
      <w:bookmarkStart w:id="4603" w:name="_Toc40248934"/>
      <w:bookmarkStart w:id="4604" w:name="_Toc40250054"/>
      <w:bookmarkStart w:id="4605" w:name="_Toc40251822"/>
      <w:bookmarkStart w:id="4606" w:name="_Toc40256934"/>
      <w:bookmarkStart w:id="4607" w:name="_Toc40215945"/>
      <w:bookmarkStart w:id="4608" w:name="_Toc40216589"/>
      <w:bookmarkStart w:id="4609" w:name="_Toc40217210"/>
      <w:bookmarkStart w:id="4610" w:name="_Toc40217832"/>
      <w:bookmarkStart w:id="4611" w:name="_Toc40218453"/>
      <w:bookmarkStart w:id="4612" w:name="_Toc40246312"/>
      <w:bookmarkStart w:id="4613" w:name="_Toc40246968"/>
      <w:bookmarkStart w:id="4614" w:name="_Toc40247882"/>
      <w:bookmarkStart w:id="4615" w:name="_Toc40248408"/>
      <w:bookmarkStart w:id="4616" w:name="_Toc40248935"/>
      <w:bookmarkStart w:id="4617" w:name="_Toc40250055"/>
      <w:bookmarkStart w:id="4618" w:name="_Toc40251823"/>
      <w:bookmarkStart w:id="4619" w:name="_Toc40256935"/>
      <w:bookmarkStart w:id="4620" w:name="_Toc40215946"/>
      <w:bookmarkStart w:id="4621" w:name="_Toc40216590"/>
      <w:bookmarkStart w:id="4622" w:name="_Toc40217211"/>
      <w:bookmarkStart w:id="4623" w:name="_Toc40217833"/>
      <w:bookmarkStart w:id="4624" w:name="_Toc40218454"/>
      <w:bookmarkStart w:id="4625" w:name="_Toc40246313"/>
      <w:bookmarkStart w:id="4626" w:name="_Toc40246969"/>
      <w:bookmarkStart w:id="4627" w:name="_Toc40247883"/>
      <w:bookmarkStart w:id="4628" w:name="_Toc40248409"/>
      <w:bookmarkStart w:id="4629" w:name="_Toc40248936"/>
      <w:bookmarkStart w:id="4630" w:name="_Toc40250056"/>
      <w:bookmarkStart w:id="4631" w:name="_Toc40251824"/>
      <w:bookmarkStart w:id="4632" w:name="_Toc40256936"/>
      <w:bookmarkStart w:id="4633" w:name="_Toc40215957"/>
      <w:bookmarkStart w:id="4634" w:name="_Toc40216594"/>
      <w:bookmarkStart w:id="4635" w:name="_Toc40217215"/>
      <w:bookmarkStart w:id="4636" w:name="_Toc40217837"/>
      <w:bookmarkStart w:id="4637" w:name="_Toc40218458"/>
      <w:bookmarkStart w:id="4638" w:name="_Toc40246317"/>
      <w:bookmarkStart w:id="4639" w:name="_Toc40246973"/>
      <w:bookmarkStart w:id="4640" w:name="_Toc40247887"/>
      <w:bookmarkStart w:id="4641" w:name="_Toc40248413"/>
      <w:bookmarkStart w:id="4642" w:name="_Toc40248940"/>
      <w:bookmarkStart w:id="4643" w:name="_Toc40250060"/>
      <w:bookmarkStart w:id="4644" w:name="_Toc40251828"/>
      <w:bookmarkStart w:id="4645" w:name="_Toc40256940"/>
      <w:bookmarkStart w:id="4646" w:name="_Toc41332849"/>
      <w:bookmarkStart w:id="4647" w:name="_Toc41333035"/>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r>
        <w:br w:type="page"/>
      </w:r>
    </w:p>
    <w:p w14:paraId="54D4D7D1" w14:textId="6C75A30C" w:rsidR="00920191" w:rsidRDefault="00920191" w:rsidP="00532449">
      <w:pPr>
        <w:pStyle w:val="Title"/>
      </w:pPr>
      <w:bookmarkStart w:id="4648" w:name="_Toc13078227"/>
      <w:bookmarkStart w:id="4649" w:name="_Toc13242496"/>
      <w:bookmarkStart w:id="4650" w:name="_Toc13242456"/>
      <w:bookmarkStart w:id="4651" w:name="_Toc13241906"/>
      <w:bookmarkStart w:id="4652" w:name="_Toc13241897"/>
      <w:bookmarkStart w:id="4653" w:name="_Toc40908717"/>
      <w:bookmarkStart w:id="4654" w:name="_Toc40908811"/>
      <w:bookmarkStart w:id="4655" w:name="_Toc40908905"/>
      <w:bookmarkStart w:id="4656" w:name="_Toc40940450"/>
      <w:bookmarkStart w:id="4657" w:name="_Toc41325440"/>
      <w:bookmarkStart w:id="4658" w:name="_Toc41651979"/>
      <w:r>
        <w:lastRenderedPageBreak/>
        <w:t>A</w:t>
      </w:r>
      <w:bookmarkEnd w:id="4648"/>
      <w:r>
        <w:t>ppendix</w:t>
      </w:r>
      <w:r w:rsidR="007B68C3">
        <w:t xml:space="preserve"> A</w:t>
      </w:r>
      <w:r>
        <w:t xml:space="preserve">: Notes on </w:t>
      </w:r>
      <w:r w:rsidR="005853AD">
        <w:t>l</w:t>
      </w:r>
      <w:r>
        <w:t>anguage</w:t>
      </w:r>
      <w:bookmarkEnd w:id="4646"/>
      <w:bookmarkEnd w:id="4647"/>
      <w:bookmarkEnd w:id="4649"/>
      <w:bookmarkEnd w:id="4650"/>
      <w:bookmarkEnd w:id="4651"/>
      <w:bookmarkEnd w:id="4652"/>
      <w:bookmarkEnd w:id="4653"/>
      <w:bookmarkEnd w:id="4654"/>
      <w:bookmarkEnd w:id="4655"/>
      <w:bookmarkEnd w:id="4656"/>
      <w:bookmarkEnd w:id="4657"/>
      <w:bookmarkEnd w:id="4658"/>
      <w:r>
        <w:t xml:space="preserve"> </w:t>
      </w:r>
    </w:p>
    <w:p w14:paraId="04685947" w14:textId="77777777" w:rsidR="00920191" w:rsidRDefault="00920191" w:rsidP="00920191">
      <w:pPr>
        <w:textAlignment w:val="center"/>
      </w:pPr>
      <w:r>
        <w:t xml:space="preserve">VLA recognises the diversity of views and experiences of those with lived experience of mental health services. We have attempted to be conscious of our use of language and have sought to avoid unnecessarily medical or legal language. There may be examples of clinical or technical language being used for clarity, despite negative connotations. </w:t>
      </w:r>
    </w:p>
    <w:p w14:paraId="32359EEF" w14:textId="77777777" w:rsidR="00920191" w:rsidRDefault="00920191" w:rsidP="00920191">
      <w:pPr>
        <w:textAlignment w:val="center"/>
      </w:pPr>
      <w:r>
        <w:t>Informed by IMHA and consumer experts, we have primarily used the term ‘mental health issues’ throughout. ‘Mental illness’ is only used in direct quotes, or when referring to organisations or reports.</w:t>
      </w:r>
    </w:p>
    <w:p w14:paraId="4E1EFBC2" w14:textId="77777777" w:rsidR="00920191" w:rsidRDefault="00920191" w:rsidP="00920191">
      <w:pPr>
        <w:textAlignment w:val="center"/>
      </w:pPr>
      <w:r>
        <w:rPr>
          <w:rFonts w:cs="Arial"/>
          <w:szCs w:val="22"/>
          <w:lang w:eastAsia="en-AU"/>
        </w:rPr>
        <w:t xml:space="preserve">We have used ‘mental impairment’ </w:t>
      </w:r>
      <w:r>
        <w:t>where</w:t>
      </w:r>
      <w:r>
        <w:rPr>
          <w:rFonts w:cs="Arial"/>
          <w:szCs w:val="22"/>
          <w:lang w:eastAsia="en-AU"/>
        </w:rPr>
        <w:t xml:space="preserve"> it relates to that concept as set out in the </w:t>
      </w:r>
      <w:r>
        <w:rPr>
          <w:rFonts w:cs="Arial"/>
          <w:i/>
          <w:iCs/>
          <w:szCs w:val="22"/>
          <w:lang w:eastAsia="en-AU"/>
        </w:rPr>
        <w:t xml:space="preserve">Crimes (Mental Impairment and Unfitness to be Tried) Act </w:t>
      </w:r>
      <w:r>
        <w:t xml:space="preserve">1997 (Vic). </w:t>
      </w:r>
    </w:p>
    <w:p w14:paraId="72093402" w14:textId="3C2FADD0" w:rsidR="0020300D" w:rsidRPr="0020300D" w:rsidRDefault="0020300D" w:rsidP="00920191">
      <w:pPr>
        <w:textAlignment w:val="center"/>
      </w:pPr>
      <w:r>
        <w:t xml:space="preserve">We have used ‘patient’ where it relates to that term as defined in the </w:t>
      </w:r>
      <w:r>
        <w:rPr>
          <w:i/>
          <w:iCs/>
        </w:rPr>
        <w:t>Mental Health Act 2014</w:t>
      </w:r>
      <w:r>
        <w:t xml:space="preserve"> (Vic).</w:t>
      </w:r>
    </w:p>
    <w:p w14:paraId="15AD1F84" w14:textId="77777777" w:rsidR="00920191" w:rsidRDefault="00920191" w:rsidP="00920191">
      <w:pPr>
        <w:textAlignment w:val="center"/>
        <w:rPr>
          <w:rFonts w:cs="Arial"/>
          <w:szCs w:val="22"/>
          <w:lang w:eastAsia="en-AU"/>
        </w:rPr>
      </w:pPr>
      <w:r>
        <w:t xml:space="preserve">We note that </w:t>
      </w:r>
      <w:r>
        <w:rPr>
          <w:rFonts w:cs="Arial"/>
          <w:szCs w:val="22"/>
          <w:lang w:eastAsia="en-AU"/>
        </w:rPr>
        <w:t xml:space="preserve">‘appropriate’, ‘specialised’ or ‘therapeutic’ services or programs are subjective terms in the mental health context and should be used carefully, keeping in mind self-determination and safeguards to promote safe and least restrictive treatment. What a clinician considers ‘appropriate’ supports or services may differ significantly to the supports that person would seek and consider appropriate for themselves. ‘Therapeutic’ has a different specific meaning in relation to the criminal justice system, where ‘therapeutic responses, programs and Courts’ refers to justice system approaches which respond to an </w:t>
      </w:r>
      <w:r>
        <w:t>individual’s</w:t>
      </w:r>
      <w:r>
        <w:rPr>
          <w:rFonts w:cs="Arial"/>
          <w:szCs w:val="22"/>
          <w:lang w:eastAsia="en-AU"/>
        </w:rPr>
        <w:t xml:space="preserve"> needs and circumstances, including mental health issues.</w:t>
      </w:r>
    </w:p>
    <w:p w14:paraId="2D9EBCDB" w14:textId="77777777" w:rsidR="00920191" w:rsidRDefault="00920191" w:rsidP="00920191">
      <w:pPr>
        <w:textAlignment w:val="center"/>
        <w:rPr>
          <w:rFonts w:cs="Arial"/>
          <w:szCs w:val="22"/>
          <w:lang w:eastAsia="en-AU"/>
        </w:rPr>
      </w:pPr>
      <w:r>
        <w:rPr>
          <w:rFonts w:cs="Arial"/>
          <w:szCs w:val="22"/>
          <w:lang w:eastAsia="en-AU"/>
        </w:rPr>
        <w:t>We have used the term ‘consumer’ to refer to people with a lived experience of mental health services, and to people who have used IMHA services. ‘Clients’ generally refers to clients of VLA.</w:t>
      </w:r>
    </w:p>
    <w:p w14:paraId="303E7910" w14:textId="49D7CA04" w:rsidR="00B6170D" w:rsidRDefault="00920191" w:rsidP="00E630C0">
      <w:pPr>
        <w:textAlignment w:val="center"/>
        <w:rPr>
          <w:rFonts w:cs="Arial"/>
          <w:szCs w:val="22"/>
          <w:lang w:eastAsia="en-AU"/>
        </w:rPr>
      </w:pPr>
      <w:r>
        <w:rPr>
          <w:rFonts w:cs="Arial"/>
          <w:szCs w:val="22"/>
          <w:lang w:eastAsia="en-AU"/>
        </w:rPr>
        <w:t xml:space="preserve">Our understanding of ‘recovery’ is set out in part </w:t>
      </w:r>
      <w:r>
        <w:rPr>
          <w:rFonts w:cs="Arial"/>
          <w:szCs w:val="22"/>
          <w:lang w:eastAsia="en-AU"/>
        </w:rPr>
        <w:fldChar w:fldCharType="begin"/>
      </w:r>
      <w:r>
        <w:rPr>
          <w:rFonts w:cs="Arial"/>
          <w:szCs w:val="22"/>
          <w:lang w:eastAsia="en-AU"/>
        </w:rPr>
        <w:instrText xml:space="preserve"> REF _Ref13136399 \r \h </w:instrText>
      </w:r>
      <w:r>
        <w:rPr>
          <w:rFonts w:cs="Arial"/>
          <w:szCs w:val="22"/>
          <w:lang w:eastAsia="en-AU"/>
        </w:rPr>
      </w:r>
      <w:r>
        <w:rPr>
          <w:rFonts w:cs="Arial"/>
          <w:szCs w:val="22"/>
          <w:lang w:eastAsia="en-AU"/>
        </w:rPr>
        <w:fldChar w:fldCharType="separate"/>
      </w:r>
      <w:r w:rsidR="002B61A5">
        <w:rPr>
          <w:rFonts w:cs="Arial"/>
          <w:b/>
          <w:bCs/>
          <w:szCs w:val="22"/>
          <w:lang w:val="en-US" w:eastAsia="en-AU"/>
        </w:rPr>
        <w:t>Error! Reference source not found.</w:t>
      </w:r>
      <w:r>
        <w:rPr>
          <w:rFonts w:cs="Arial"/>
          <w:szCs w:val="22"/>
          <w:lang w:eastAsia="en-AU"/>
        </w:rPr>
        <w:fldChar w:fldCharType="end"/>
      </w:r>
      <w:r>
        <w:rPr>
          <w:rFonts w:cs="Arial"/>
          <w:szCs w:val="22"/>
          <w:lang w:eastAsia="en-AU"/>
        </w:rPr>
        <w:t xml:space="preserve"> of </w:t>
      </w:r>
      <w:r>
        <w:rPr>
          <w:rFonts w:cs="Arial"/>
          <w:i/>
          <w:iCs/>
          <w:szCs w:val="22"/>
          <w:lang w:eastAsia="en-AU"/>
        </w:rPr>
        <w:t>Roads to Recovery</w:t>
      </w:r>
      <w:r>
        <w:rPr>
          <w:rFonts w:cs="Arial"/>
          <w:szCs w:val="22"/>
          <w:lang w:eastAsia="en-AU"/>
        </w:rPr>
        <w:t xml:space="preserve">. We recognise that many consumers see the Mental Health Act as incompatible with the concept of recovery, as it facilitates compulsory treatment, which is inconsistent with self-determination, a fundamental aspect of recovery. </w:t>
      </w:r>
    </w:p>
    <w:p w14:paraId="5253CCB6" w14:textId="137D2416" w:rsidR="007B68C3" w:rsidRDefault="007B68C3" w:rsidP="007B68C3">
      <w:pPr>
        <w:pStyle w:val="Title"/>
        <w:pageBreakBefore/>
      </w:pPr>
      <w:bookmarkStart w:id="4659" w:name="_Toc41651980"/>
      <w:r>
        <w:lastRenderedPageBreak/>
        <w:t>Appendix B: List of recommendations</w:t>
      </w:r>
      <w:bookmarkEnd w:id="4659"/>
    </w:p>
    <w:p w14:paraId="5FB7727F" w14:textId="77777777" w:rsidR="0058172F" w:rsidRDefault="0058172F" w:rsidP="00984FB7">
      <w:pPr>
        <w:pStyle w:val="Heading1"/>
        <w:numPr>
          <w:ilvl w:val="0"/>
          <w:numId w:val="16"/>
        </w:numPr>
      </w:pPr>
      <w:bookmarkStart w:id="4660" w:name="_Toc41472228"/>
      <w:bookmarkStart w:id="4661" w:name="_Toc41472986"/>
      <w:bookmarkStart w:id="4662" w:name="_Toc41577657"/>
      <w:bookmarkStart w:id="4663" w:name="_Toc41651981"/>
      <w:r w:rsidRPr="004D34A4">
        <w:t>Consumer</w:t>
      </w:r>
      <w:r>
        <w:t xml:space="preserve"> leadership</w:t>
      </w:r>
      <w:bookmarkEnd w:id="4660"/>
      <w:bookmarkEnd w:id="4661"/>
      <w:bookmarkEnd w:id="4662"/>
      <w:bookmarkEnd w:id="4663"/>
    </w:p>
    <w:p w14:paraId="1BB0587E" w14:textId="2D98FF03" w:rsidR="0058172F" w:rsidRPr="00BC4768" w:rsidRDefault="00BC4768" w:rsidP="00E350A3">
      <w:pPr>
        <w:shd w:val="clear" w:color="auto" w:fill="DEEAF6" w:themeFill="accent5" w:themeFillTint="33"/>
        <w:ind w:left="2835" w:hanging="2409"/>
      </w:pPr>
      <w:r w:rsidRPr="00B9060C">
        <w:rPr>
          <w:b/>
          <w:bCs/>
        </w:rPr>
        <w:t>Recommendation 1</w:t>
      </w:r>
      <w:r>
        <w:rPr>
          <w:b/>
          <w:bCs/>
        </w:rPr>
        <w:t xml:space="preserve">: </w:t>
      </w:r>
      <w:r w:rsidR="00571887">
        <w:rPr>
          <w:b/>
          <w:bCs/>
        </w:rPr>
        <w:tab/>
      </w:r>
      <w:r w:rsidR="0058172F" w:rsidRPr="00BC4768">
        <w:rPr>
          <w:b/>
          <w:bCs/>
        </w:rPr>
        <w:t>Embed consumer leadership in mental health services</w:t>
      </w:r>
    </w:p>
    <w:p w14:paraId="573F91E5" w14:textId="77777777" w:rsidR="0058172F" w:rsidRPr="00BC4768" w:rsidRDefault="0058172F" w:rsidP="00E350A3">
      <w:pPr>
        <w:shd w:val="clear" w:color="auto" w:fill="DEEAF6" w:themeFill="accent5" w:themeFillTint="33"/>
        <w:ind w:left="426"/>
      </w:pPr>
      <w:r w:rsidRPr="00BC4768">
        <w:t xml:space="preserve">The Department of Health and Human Services should </w:t>
      </w:r>
      <w:proofErr w:type="gramStart"/>
      <w:r w:rsidRPr="00BC4768">
        <w:t>require</w:t>
      </w:r>
      <w:proofErr w:type="gramEnd"/>
      <w:r w:rsidRPr="00BC4768">
        <w:t xml:space="preserve"> and fund all designated mental health services to implement the ‘Strategy for the consumer mental health workforce in Victoria’ and embed Consumer Advisory Groups within their governance, oversight and quality improvement structures.</w:t>
      </w:r>
    </w:p>
    <w:p w14:paraId="3CCCD9E7" w14:textId="77777777" w:rsidR="0058172F" w:rsidRPr="00E350A3" w:rsidRDefault="0058172F" w:rsidP="00E350A3">
      <w:pPr>
        <w:shd w:val="clear" w:color="auto" w:fill="DEEAF6" w:themeFill="accent5" w:themeFillTint="33"/>
        <w:ind w:left="426"/>
      </w:pPr>
      <w:r w:rsidRPr="00BC4768">
        <w:t>Mental Health Reform Victoria should oversee the implementation of consumer roles and the mechanisms to support them, in partnership with current consumer leaders and peak bodies, ensuring the diversity of the consumer workforce reflects the diversity of consumers eligible for the service.</w:t>
      </w:r>
    </w:p>
    <w:p w14:paraId="19D05959" w14:textId="00C5E6A2" w:rsidR="0058172F" w:rsidRPr="001028B6" w:rsidRDefault="00BC4768" w:rsidP="00E350A3">
      <w:pPr>
        <w:shd w:val="clear" w:color="auto" w:fill="DEEAF6" w:themeFill="accent5" w:themeFillTint="33"/>
        <w:ind w:left="2835" w:hanging="2409"/>
      </w:pPr>
      <w:r w:rsidRPr="00B9060C">
        <w:rPr>
          <w:b/>
          <w:bCs/>
        </w:rPr>
        <w:t xml:space="preserve">Recommendation </w:t>
      </w:r>
      <w:r>
        <w:rPr>
          <w:b/>
          <w:bCs/>
        </w:rPr>
        <w:t xml:space="preserve">2: </w:t>
      </w:r>
      <w:r w:rsidR="00571887">
        <w:rPr>
          <w:b/>
          <w:bCs/>
        </w:rPr>
        <w:tab/>
      </w:r>
      <w:r w:rsidR="0058172F" w:rsidRPr="00E350A3">
        <w:rPr>
          <w:b/>
          <w:bCs/>
        </w:rPr>
        <w:t>Require co-production of Royal Commission report recommendations</w:t>
      </w:r>
    </w:p>
    <w:p w14:paraId="69006A6B" w14:textId="77777777" w:rsidR="0058172F" w:rsidRPr="00BC4768" w:rsidRDefault="0058172F" w:rsidP="00E350A3">
      <w:pPr>
        <w:shd w:val="clear" w:color="auto" w:fill="DEEAF6" w:themeFill="accent5" w:themeFillTint="33"/>
        <w:ind w:left="426"/>
      </w:pPr>
      <w:r w:rsidRPr="00BC4768">
        <w:t>The Victorian Government and Mental Health Reform Victoria should ensure that implementation of all recommendations made in the Royal Commission interim and final reports is co-produced with consumers.</w:t>
      </w:r>
    </w:p>
    <w:p w14:paraId="4FFF88D3" w14:textId="46E84F5C" w:rsidR="0058172F" w:rsidRPr="001028B6" w:rsidRDefault="00BC4768" w:rsidP="00E350A3">
      <w:pPr>
        <w:shd w:val="clear" w:color="auto" w:fill="DEEAF6" w:themeFill="accent5" w:themeFillTint="33"/>
        <w:ind w:left="2835" w:hanging="2409"/>
      </w:pPr>
      <w:r w:rsidRPr="00B9060C">
        <w:rPr>
          <w:b/>
          <w:bCs/>
        </w:rPr>
        <w:t xml:space="preserve">Recommendation </w:t>
      </w:r>
      <w:r>
        <w:rPr>
          <w:b/>
          <w:bCs/>
        </w:rPr>
        <w:t xml:space="preserve">3: </w:t>
      </w:r>
      <w:r w:rsidR="0058172F" w:rsidRPr="00E350A3">
        <w:rPr>
          <w:b/>
          <w:bCs/>
        </w:rPr>
        <w:t>Embed consumer leadership in intersecting systems</w:t>
      </w:r>
    </w:p>
    <w:p w14:paraId="1930ED75" w14:textId="77777777" w:rsidR="0058172F" w:rsidRPr="00E350A3" w:rsidRDefault="0058172F" w:rsidP="00E350A3">
      <w:pPr>
        <w:shd w:val="clear" w:color="auto" w:fill="DEEAF6" w:themeFill="accent5" w:themeFillTint="33"/>
        <w:ind w:left="426"/>
      </w:pPr>
      <w:r w:rsidRPr="00E350A3">
        <w:t>The Royal Commission should extend recommendation 6 of the Interim Report to include lived experience workforce initiatives in systems that intersect with the mental health system.</w:t>
      </w:r>
    </w:p>
    <w:p w14:paraId="2C8964E4" w14:textId="4DFC19A1" w:rsidR="0058172F" w:rsidRPr="00E350A3" w:rsidRDefault="0058172F" w:rsidP="00E350A3">
      <w:pPr>
        <w:shd w:val="clear" w:color="auto" w:fill="DEEAF6" w:themeFill="accent5" w:themeFillTint="33"/>
        <w:ind w:left="426"/>
      </w:pPr>
      <w:r w:rsidRPr="00E350A3">
        <w:t>Mental Health Reform Victoria could coordinate this recommendation in partnership with relevant government departments.</w:t>
      </w:r>
    </w:p>
    <w:p w14:paraId="2DF04124" w14:textId="77777777" w:rsidR="0058172F" w:rsidRDefault="0058172F" w:rsidP="0058172F">
      <w:pPr>
        <w:pStyle w:val="Heading1"/>
      </w:pPr>
      <w:bookmarkStart w:id="4664" w:name="_Toc41472229"/>
      <w:bookmarkStart w:id="4665" w:name="_Toc41472987"/>
      <w:bookmarkStart w:id="4666" w:name="_Toc41577658"/>
      <w:bookmarkStart w:id="4667" w:name="_Toc41651982"/>
      <w:r>
        <w:t>Access to advocacy</w:t>
      </w:r>
      <w:bookmarkEnd w:id="4664"/>
      <w:bookmarkEnd w:id="4665"/>
      <w:bookmarkEnd w:id="4666"/>
      <w:bookmarkEnd w:id="4667"/>
    </w:p>
    <w:p w14:paraId="74FFD266" w14:textId="45EB14C9" w:rsidR="0058172F" w:rsidRPr="00C65694"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4: </w:t>
      </w:r>
      <w:r w:rsidR="00571887">
        <w:rPr>
          <w:b/>
          <w:bCs/>
        </w:rPr>
        <w:tab/>
      </w:r>
      <w:r w:rsidR="0058172F" w:rsidRPr="00C65694">
        <w:rPr>
          <w:b/>
          <w:bCs/>
        </w:rPr>
        <w:t>Ensure access to non-legal advocacy for consumers on compulsory treatment orders</w:t>
      </w:r>
    </w:p>
    <w:p w14:paraId="15378878" w14:textId="17490BE3" w:rsidR="0058172F" w:rsidRPr="00C65694" w:rsidRDefault="0058172F" w:rsidP="00E350A3">
      <w:pPr>
        <w:shd w:val="clear" w:color="auto" w:fill="DEEAF6" w:themeFill="accent5" w:themeFillTint="33"/>
        <w:ind w:left="426"/>
      </w:pPr>
      <w:r w:rsidRPr="00C65694">
        <w:t>The Victorian Government should introduce an opt-out system for independent non-legal advocacy for consumers on compulsory treatment orders and provide adequate funding for IMHA to meet service demand.</w:t>
      </w:r>
    </w:p>
    <w:p w14:paraId="0E7B2F59" w14:textId="0FBB9B52" w:rsidR="0058172F" w:rsidRPr="001028B6" w:rsidRDefault="00C65694" w:rsidP="00E350A3">
      <w:pPr>
        <w:shd w:val="clear" w:color="auto" w:fill="DEEAF6" w:themeFill="accent5" w:themeFillTint="33"/>
        <w:ind w:left="2835" w:hanging="2409"/>
      </w:pPr>
      <w:r w:rsidRPr="00B9060C">
        <w:rPr>
          <w:b/>
          <w:bCs/>
        </w:rPr>
        <w:t xml:space="preserve">Recommendation </w:t>
      </w:r>
      <w:r>
        <w:rPr>
          <w:b/>
          <w:bCs/>
        </w:rPr>
        <w:t xml:space="preserve">5: </w:t>
      </w:r>
      <w:r w:rsidR="00571887">
        <w:rPr>
          <w:b/>
          <w:bCs/>
        </w:rPr>
        <w:tab/>
      </w:r>
      <w:r w:rsidR="0058172F" w:rsidRPr="00C65694">
        <w:rPr>
          <w:b/>
          <w:bCs/>
        </w:rPr>
        <w:t>Increase access to legal assistance for Mental Health Tribunal proceedings</w:t>
      </w:r>
    </w:p>
    <w:p w14:paraId="26D43550" w14:textId="77777777" w:rsidR="0058172F" w:rsidRPr="00C65694" w:rsidRDefault="0058172F" w:rsidP="00E350A3">
      <w:pPr>
        <w:shd w:val="clear" w:color="auto" w:fill="DEEAF6" w:themeFill="accent5" w:themeFillTint="33"/>
        <w:ind w:left="426"/>
      </w:pPr>
      <w:r w:rsidRPr="00C65694">
        <w:t xml:space="preserve">The Victorian Government should fund additional Mental Health Tribunal legal assistance services and improve referral, information-sharing and processes to ensure all consumers can access free legal assistance. </w:t>
      </w:r>
    </w:p>
    <w:p w14:paraId="510640A6" w14:textId="77777777" w:rsidR="0058172F" w:rsidRDefault="0058172F" w:rsidP="00E350A3">
      <w:pPr>
        <w:pStyle w:val="Heading1"/>
        <w:pageBreakBefore/>
      </w:pPr>
      <w:bookmarkStart w:id="4668" w:name="_Toc41472230"/>
      <w:bookmarkStart w:id="4669" w:name="_Toc41472988"/>
      <w:bookmarkStart w:id="4670" w:name="_Toc41577659"/>
      <w:bookmarkStart w:id="4671" w:name="_Toc41651983"/>
      <w:r>
        <w:lastRenderedPageBreak/>
        <w:t>Accessibility and safety of services</w:t>
      </w:r>
      <w:bookmarkEnd w:id="4668"/>
      <w:bookmarkEnd w:id="4669"/>
      <w:bookmarkEnd w:id="4670"/>
      <w:bookmarkEnd w:id="4671"/>
    </w:p>
    <w:p w14:paraId="77EAF5F2" w14:textId="7F708348" w:rsidR="0058172F" w:rsidRPr="001028B6"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6: </w:t>
      </w:r>
      <w:r w:rsidR="00571887">
        <w:rPr>
          <w:b/>
          <w:bCs/>
        </w:rPr>
        <w:tab/>
      </w:r>
      <w:r w:rsidR="0058172F" w:rsidRPr="00C65694">
        <w:rPr>
          <w:b/>
          <w:bCs/>
        </w:rPr>
        <w:t>Require screening for family violence risks by mental health services</w:t>
      </w:r>
    </w:p>
    <w:p w14:paraId="0BEA365C" w14:textId="77777777" w:rsidR="0058172F" w:rsidRPr="00C65694" w:rsidRDefault="0058172F" w:rsidP="00E350A3">
      <w:pPr>
        <w:shd w:val="clear" w:color="auto" w:fill="DEEAF6" w:themeFill="accent5" w:themeFillTint="33"/>
        <w:ind w:left="426"/>
      </w:pPr>
      <w:r w:rsidRPr="00C65694">
        <w:t>The Department of Health and Human Services should require and fund mental health services to develop policies to ensure family violence risk screening is undertaken as part of the intake process within the mental health system (e.g. risk identification, referrals to family violence services for safety planning).</w:t>
      </w:r>
    </w:p>
    <w:p w14:paraId="33341B33" w14:textId="1A695EF7" w:rsidR="0058172F" w:rsidRPr="00C65694"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7: </w:t>
      </w:r>
      <w:r w:rsidR="00571887">
        <w:rPr>
          <w:b/>
          <w:bCs/>
        </w:rPr>
        <w:tab/>
      </w:r>
      <w:r w:rsidR="0058172F" w:rsidRPr="00C65694">
        <w:rPr>
          <w:b/>
          <w:bCs/>
        </w:rPr>
        <w:t>Improve responses to people experiencing mental health issues who use family violence</w:t>
      </w:r>
    </w:p>
    <w:p w14:paraId="71043AB5" w14:textId="77777777" w:rsidR="0058172F" w:rsidRPr="00C65694" w:rsidRDefault="0058172F" w:rsidP="00E350A3">
      <w:pPr>
        <w:shd w:val="clear" w:color="auto" w:fill="DEEAF6" w:themeFill="accent5" w:themeFillTint="33"/>
        <w:ind w:left="426"/>
      </w:pPr>
      <w:r w:rsidRPr="00C65694">
        <w:t>The Victorian Government should provide guidance to require all aspects of the mental health and justice systems (e.g. mental health services, Victoria Police, courts) to improve their responses to people who use family violence and are experiencing mental health issues.</w:t>
      </w:r>
    </w:p>
    <w:p w14:paraId="4A4D2106" w14:textId="576CDC4E" w:rsidR="0058172F" w:rsidRPr="001028B6" w:rsidRDefault="00C65694" w:rsidP="00E350A3">
      <w:pPr>
        <w:shd w:val="clear" w:color="auto" w:fill="DEEAF6" w:themeFill="accent5" w:themeFillTint="33"/>
        <w:ind w:left="2835" w:hanging="2409"/>
      </w:pPr>
      <w:r w:rsidRPr="00B9060C">
        <w:rPr>
          <w:b/>
          <w:bCs/>
        </w:rPr>
        <w:t xml:space="preserve">Recommendation </w:t>
      </w:r>
      <w:r>
        <w:rPr>
          <w:b/>
          <w:bCs/>
        </w:rPr>
        <w:t>8</w:t>
      </w:r>
      <w:r w:rsidRPr="00C65694">
        <w:t xml:space="preserve">: </w:t>
      </w:r>
      <w:r w:rsidR="00571887">
        <w:tab/>
      </w:r>
      <w:r w:rsidR="0058172F" w:rsidRPr="00C65694">
        <w:rPr>
          <w:b/>
          <w:bCs/>
        </w:rPr>
        <w:t>Respond to local mental health need in the regions</w:t>
      </w:r>
    </w:p>
    <w:p w14:paraId="0BF8B2FB" w14:textId="5E71E4D4" w:rsidR="0058172F" w:rsidRPr="00E350A3" w:rsidRDefault="0058172F" w:rsidP="00E350A3">
      <w:pPr>
        <w:shd w:val="clear" w:color="auto" w:fill="DEEAF6" w:themeFill="accent5" w:themeFillTint="33"/>
        <w:ind w:left="426"/>
      </w:pPr>
      <w:r w:rsidRPr="00C65694">
        <w:t>The Victorian Government should ensure people can access specialist and high</w:t>
      </w:r>
      <w:r w:rsidR="003224BD" w:rsidRPr="00C65694">
        <w:t>-</w:t>
      </w:r>
      <w:r w:rsidRPr="00C65694">
        <w:t xml:space="preserve">quality mental health treatment across rural, regional and remote Victoria. </w:t>
      </w:r>
    </w:p>
    <w:p w14:paraId="5EF70BD1" w14:textId="064C8D7B" w:rsidR="0058172F" w:rsidRPr="001028B6"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9: </w:t>
      </w:r>
      <w:r w:rsidR="00571887">
        <w:rPr>
          <w:b/>
          <w:bCs/>
        </w:rPr>
        <w:tab/>
      </w:r>
      <w:r w:rsidR="0058172F" w:rsidRPr="00C65694">
        <w:rPr>
          <w:b/>
          <w:bCs/>
        </w:rPr>
        <w:t>Secure, safe and responsive mental health services for diverse communities</w:t>
      </w:r>
    </w:p>
    <w:p w14:paraId="468D3973" w14:textId="77777777" w:rsidR="0058172F" w:rsidRPr="00C65694" w:rsidRDefault="0058172F" w:rsidP="00E350A3">
      <w:pPr>
        <w:shd w:val="clear" w:color="auto" w:fill="DEEAF6" w:themeFill="accent5" w:themeFillTint="33"/>
        <w:ind w:left="426"/>
      </w:pPr>
      <w:r w:rsidRPr="00C65694">
        <w:t>The Department of Health and Human Services should require and fund mental health services to implement specific strategies to provide capacity building, policy development and training, and to ensure their service delivery is trauma-informed, responsive and tailored to the diverse needs of the consumers accessing their services.</w:t>
      </w:r>
    </w:p>
    <w:p w14:paraId="32E1D987" w14:textId="41DC65CD" w:rsidR="0058172F" w:rsidRPr="001028B6" w:rsidRDefault="00C65694" w:rsidP="00E350A3">
      <w:pPr>
        <w:shd w:val="clear" w:color="auto" w:fill="DEEAF6" w:themeFill="accent5" w:themeFillTint="33"/>
        <w:ind w:left="426"/>
      </w:pPr>
      <w:r w:rsidRPr="00B9060C">
        <w:rPr>
          <w:b/>
          <w:bCs/>
        </w:rPr>
        <w:t xml:space="preserve">Recommendation </w:t>
      </w:r>
      <w:r>
        <w:rPr>
          <w:b/>
          <w:bCs/>
        </w:rPr>
        <w:t xml:space="preserve">10: </w:t>
      </w:r>
      <w:r w:rsidR="00571887">
        <w:rPr>
          <w:b/>
          <w:bCs/>
        </w:rPr>
        <w:tab/>
      </w:r>
      <w:r w:rsidR="0058172F" w:rsidRPr="00C65694">
        <w:rPr>
          <w:b/>
          <w:bCs/>
        </w:rPr>
        <w:t>Build mental health support capacity of intersecting services</w:t>
      </w:r>
    </w:p>
    <w:p w14:paraId="7651992B" w14:textId="5B70177E" w:rsidR="0058172F" w:rsidRPr="00C65694" w:rsidRDefault="0058172F" w:rsidP="00E350A3">
      <w:pPr>
        <w:shd w:val="clear" w:color="auto" w:fill="DEEAF6" w:themeFill="accent5" w:themeFillTint="33"/>
        <w:ind w:left="426"/>
      </w:pPr>
      <w:r w:rsidRPr="00C65694">
        <w:t>The Victorian Government should build the capacity of intersecting services to provide rights based and recovery focused support for people with mental health issues, particularly around identification and referrals to appropriate mental health supports.</w:t>
      </w:r>
    </w:p>
    <w:p w14:paraId="336DF90A" w14:textId="77777777" w:rsidR="0058172F" w:rsidRDefault="0058172F" w:rsidP="0058172F">
      <w:pPr>
        <w:pStyle w:val="Heading1"/>
      </w:pPr>
      <w:bookmarkStart w:id="4672" w:name="_Toc41472231"/>
      <w:bookmarkStart w:id="4673" w:name="_Toc41472989"/>
      <w:bookmarkStart w:id="4674" w:name="_Toc41577660"/>
      <w:bookmarkStart w:id="4675" w:name="_Toc41651984"/>
      <w:r>
        <w:t>Service delivery and community supports</w:t>
      </w:r>
      <w:bookmarkEnd w:id="4672"/>
      <w:bookmarkEnd w:id="4673"/>
      <w:bookmarkEnd w:id="4674"/>
      <w:bookmarkEnd w:id="4675"/>
    </w:p>
    <w:p w14:paraId="1CF7B633" w14:textId="7511604C" w:rsidR="0058172F" w:rsidRPr="001028B6" w:rsidRDefault="00C65694" w:rsidP="00E350A3">
      <w:pPr>
        <w:shd w:val="clear" w:color="auto" w:fill="DEEAF6" w:themeFill="accent5" w:themeFillTint="33"/>
        <w:ind w:left="426"/>
      </w:pPr>
      <w:r w:rsidRPr="00B9060C">
        <w:rPr>
          <w:b/>
          <w:bCs/>
        </w:rPr>
        <w:t xml:space="preserve">Recommendation </w:t>
      </w:r>
      <w:r>
        <w:rPr>
          <w:b/>
          <w:bCs/>
        </w:rPr>
        <w:t xml:space="preserve">11: </w:t>
      </w:r>
      <w:r w:rsidR="0058172F" w:rsidRPr="00C65694">
        <w:rPr>
          <w:b/>
          <w:bCs/>
        </w:rPr>
        <w:t>Embed key recovery principles within mental health services</w:t>
      </w:r>
    </w:p>
    <w:p w14:paraId="66157387" w14:textId="77777777" w:rsidR="0058172F" w:rsidRPr="00C65694" w:rsidRDefault="0058172F" w:rsidP="00E350A3">
      <w:pPr>
        <w:shd w:val="clear" w:color="auto" w:fill="DEEAF6" w:themeFill="accent5" w:themeFillTint="33"/>
        <w:ind w:left="426"/>
      </w:pPr>
      <w:r w:rsidRPr="00C65694">
        <w:t>The Department of Health and Human Services should require and fund mental health services to embed key principles of supported-decision making, recovery and least restrictive practice into their practice through the use of service agreements, policies and procedures and practice support to increase rates of voluntary mental health services and treatment in the community.</w:t>
      </w:r>
    </w:p>
    <w:p w14:paraId="5FFDFA4D" w14:textId="37E6008C" w:rsidR="0058172F" w:rsidRPr="001028B6" w:rsidRDefault="00C65694" w:rsidP="00E350A3">
      <w:pPr>
        <w:shd w:val="clear" w:color="auto" w:fill="DEEAF6" w:themeFill="accent5" w:themeFillTint="33"/>
        <w:ind w:left="426"/>
      </w:pPr>
      <w:r w:rsidRPr="00B9060C">
        <w:rPr>
          <w:b/>
          <w:bCs/>
        </w:rPr>
        <w:t xml:space="preserve">Recommendation </w:t>
      </w:r>
      <w:r>
        <w:rPr>
          <w:b/>
          <w:bCs/>
        </w:rPr>
        <w:t xml:space="preserve">12: </w:t>
      </w:r>
      <w:r w:rsidR="0058172F" w:rsidRPr="00C65694">
        <w:rPr>
          <w:b/>
          <w:bCs/>
        </w:rPr>
        <w:t>Require supported decision-making and rights training</w:t>
      </w:r>
    </w:p>
    <w:p w14:paraId="2D784A45" w14:textId="77777777" w:rsidR="0058172F" w:rsidRPr="00C65694" w:rsidRDefault="0058172F" w:rsidP="00E350A3">
      <w:pPr>
        <w:shd w:val="clear" w:color="auto" w:fill="DEEAF6" w:themeFill="accent5" w:themeFillTint="33"/>
        <w:ind w:left="426"/>
      </w:pPr>
      <w:r w:rsidRPr="00C65694">
        <w:t>The Department of Health and Human Services should require and fund mental health services and all clinicians who can make compulsory treatment decisions to undertake mandatory training on the Mental Health Act (including supported decision-making, recovery and least restrictive treatment) and application of the Victorian Charter.</w:t>
      </w:r>
    </w:p>
    <w:p w14:paraId="7AC5FAED" w14:textId="77777777" w:rsidR="0058172F" w:rsidRPr="00C65694" w:rsidRDefault="0058172F" w:rsidP="00E350A3">
      <w:pPr>
        <w:shd w:val="clear" w:color="auto" w:fill="DEEAF6" w:themeFill="accent5" w:themeFillTint="33"/>
        <w:ind w:left="426"/>
      </w:pPr>
      <w:r w:rsidRPr="00C65694">
        <w:t>The Victorian Government should adequately fund IMHA to continue designing and delivering supported decision-making and rights training to designated mental health services to build services’ capacity to work from a rights-based framework, as required by the Mental Health Act.</w:t>
      </w:r>
    </w:p>
    <w:p w14:paraId="18384957" w14:textId="2A4C745D" w:rsidR="0058172F" w:rsidRPr="001028B6" w:rsidRDefault="00C65694" w:rsidP="00E350A3">
      <w:pPr>
        <w:shd w:val="clear" w:color="auto" w:fill="DEEAF6" w:themeFill="accent5" w:themeFillTint="33"/>
        <w:ind w:left="426"/>
      </w:pPr>
      <w:r w:rsidRPr="00B9060C">
        <w:rPr>
          <w:b/>
          <w:bCs/>
        </w:rPr>
        <w:lastRenderedPageBreak/>
        <w:t xml:space="preserve">Recommendation </w:t>
      </w:r>
      <w:r>
        <w:rPr>
          <w:b/>
          <w:bCs/>
        </w:rPr>
        <w:t xml:space="preserve">13: </w:t>
      </w:r>
      <w:r w:rsidR="00571887">
        <w:rPr>
          <w:b/>
          <w:bCs/>
        </w:rPr>
        <w:tab/>
      </w:r>
      <w:r w:rsidR="0058172F" w:rsidRPr="00C65694">
        <w:rPr>
          <w:b/>
          <w:bCs/>
        </w:rPr>
        <w:t>Improve access to holistic and flexible treatment</w:t>
      </w:r>
    </w:p>
    <w:p w14:paraId="4262502B" w14:textId="77777777" w:rsidR="0058172F" w:rsidRPr="00C65694" w:rsidRDefault="0058172F" w:rsidP="00E350A3">
      <w:pPr>
        <w:shd w:val="clear" w:color="auto" w:fill="DEEAF6" w:themeFill="accent5" w:themeFillTint="33"/>
        <w:spacing w:line="276" w:lineRule="auto"/>
        <w:ind w:left="426"/>
      </w:pPr>
      <w:r w:rsidRPr="00C65694">
        <w:t>The Victorian Government should increase funding to expand community-based mental health supports and multidisciplinary options in treatment team workforce and service models for consumers to have genuine choice about the type of support they receive.</w:t>
      </w:r>
    </w:p>
    <w:p w14:paraId="50AA58FD" w14:textId="5218D6C5" w:rsidR="0058172F" w:rsidRPr="00C65694"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14: </w:t>
      </w:r>
      <w:r w:rsidR="00571887">
        <w:rPr>
          <w:b/>
          <w:bCs/>
        </w:rPr>
        <w:tab/>
      </w:r>
      <w:r w:rsidR="0058172F" w:rsidRPr="00C65694">
        <w:rPr>
          <w:b/>
          <w:bCs/>
        </w:rPr>
        <w:t>Work with Australian government to expand Medicare funding for Mental Health Care Plans</w:t>
      </w:r>
    </w:p>
    <w:p w14:paraId="3224B3CF" w14:textId="77777777" w:rsidR="0058172F" w:rsidRPr="00C65694" w:rsidRDefault="0058172F" w:rsidP="00E350A3">
      <w:pPr>
        <w:shd w:val="clear" w:color="auto" w:fill="DEEAF6" w:themeFill="accent5" w:themeFillTint="33"/>
        <w:spacing w:line="276" w:lineRule="auto"/>
        <w:ind w:left="426"/>
      </w:pPr>
      <w:r w:rsidRPr="00C65694">
        <w:t>The Victorian Government should work with the Australian Government to bridge the gap between mental health supports available through a Mental Health Care Plan and an individual’s mental health support needs.</w:t>
      </w:r>
    </w:p>
    <w:p w14:paraId="4512D421" w14:textId="1DF42C3E" w:rsidR="0058172F" w:rsidRPr="00C65694"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15: </w:t>
      </w:r>
      <w:r w:rsidR="00571887">
        <w:rPr>
          <w:b/>
          <w:bCs/>
        </w:rPr>
        <w:tab/>
      </w:r>
      <w:r w:rsidR="0058172F" w:rsidRPr="00C65694">
        <w:rPr>
          <w:b/>
          <w:bCs/>
        </w:rPr>
        <w:t>Ensure cross-governmental coordination of mental health, health and NDIS supports</w:t>
      </w:r>
    </w:p>
    <w:p w14:paraId="7E60DE36" w14:textId="77777777" w:rsidR="0058172F" w:rsidRPr="00C65694" w:rsidRDefault="0058172F" w:rsidP="00E350A3">
      <w:pPr>
        <w:shd w:val="clear" w:color="auto" w:fill="DEEAF6" w:themeFill="accent5" w:themeFillTint="33"/>
        <w:spacing w:line="276" w:lineRule="auto"/>
        <w:ind w:left="426"/>
      </w:pPr>
      <w:r w:rsidRPr="00C65694">
        <w:t>The Victorian Government should work with the Australian Government to coordinate access and availability of mental health supports and services to ensure consumers have a seamless experience of the mental health system, regardless of governmental responsibility for different types of services.</w:t>
      </w:r>
    </w:p>
    <w:p w14:paraId="6539B0DB" w14:textId="3B5216D9" w:rsidR="0058172F" w:rsidRPr="00E350A3" w:rsidRDefault="00C65694" w:rsidP="00E350A3">
      <w:pPr>
        <w:shd w:val="clear" w:color="auto" w:fill="DEEAF6" w:themeFill="accent5" w:themeFillTint="33"/>
        <w:ind w:left="426"/>
      </w:pPr>
      <w:r w:rsidRPr="00B9060C">
        <w:rPr>
          <w:b/>
          <w:bCs/>
        </w:rPr>
        <w:t xml:space="preserve">Recommendation </w:t>
      </w:r>
      <w:r>
        <w:rPr>
          <w:b/>
          <w:bCs/>
        </w:rPr>
        <w:t xml:space="preserve">16: </w:t>
      </w:r>
      <w:r w:rsidR="00571887">
        <w:rPr>
          <w:b/>
          <w:bCs/>
        </w:rPr>
        <w:tab/>
      </w:r>
      <w:r w:rsidR="0058172F" w:rsidRPr="00C65694">
        <w:rPr>
          <w:b/>
          <w:bCs/>
        </w:rPr>
        <w:t>Develop standards for Secure Extended Care Units</w:t>
      </w:r>
    </w:p>
    <w:p w14:paraId="7142A97B" w14:textId="77777777" w:rsidR="0058172F" w:rsidRPr="00C65694" w:rsidRDefault="0058172F" w:rsidP="00E350A3">
      <w:pPr>
        <w:shd w:val="clear" w:color="auto" w:fill="DEEAF6" w:themeFill="accent5" w:themeFillTint="33"/>
        <w:spacing w:line="276" w:lineRule="auto"/>
        <w:ind w:left="426"/>
      </w:pPr>
      <w:r w:rsidRPr="00C65694">
        <w:t>The Department of Health and Human Services should define Secure Extended Care Units as a unique service within designated mental health services and develop standards which regulate inpatient care, liveability standards and discharge and transition planning.</w:t>
      </w:r>
    </w:p>
    <w:p w14:paraId="256CD16A" w14:textId="574351E1" w:rsidR="0058172F" w:rsidRPr="00C65694"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17: </w:t>
      </w:r>
      <w:r w:rsidR="00571887">
        <w:rPr>
          <w:b/>
          <w:bCs/>
        </w:rPr>
        <w:tab/>
      </w:r>
      <w:r w:rsidR="0058172F" w:rsidRPr="00C65694">
        <w:rPr>
          <w:b/>
          <w:bCs/>
        </w:rPr>
        <w:t>Facilitate effective discharge from Secure Extended Care Units into the community</w:t>
      </w:r>
    </w:p>
    <w:p w14:paraId="5AAAA18E" w14:textId="77777777" w:rsidR="0058172F" w:rsidRPr="00C65694" w:rsidRDefault="0058172F" w:rsidP="00E350A3">
      <w:pPr>
        <w:shd w:val="clear" w:color="auto" w:fill="DEEAF6" w:themeFill="accent5" w:themeFillTint="33"/>
        <w:spacing w:line="276" w:lineRule="auto"/>
        <w:ind w:left="426"/>
      </w:pPr>
      <w:r w:rsidRPr="00C65694">
        <w:t>The Victorian Government should fund broader options for accommodation in the community, step-down programs and community-based treatment for consumers in Secure Extended Care Units.</w:t>
      </w:r>
    </w:p>
    <w:p w14:paraId="5F049A74" w14:textId="77777777" w:rsidR="0058172F" w:rsidRPr="00C65694" w:rsidRDefault="0058172F" w:rsidP="00E350A3">
      <w:pPr>
        <w:shd w:val="clear" w:color="auto" w:fill="DEEAF6" w:themeFill="accent5" w:themeFillTint="33"/>
        <w:spacing w:line="276" w:lineRule="auto"/>
        <w:ind w:left="426"/>
      </w:pPr>
      <w:r w:rsidRPr="00C65694">
        <w:t xml:space="preserve">The appropriate regulator (e.g. independent regulator or Office of the Chief Psychiatrist) should establish and monitor implementation of effective discharge planning requirements, including consistent outcome measures and public reporting of compliance. </w:t>
      </w:r>
    </w:p>
    <w:p w14:paraId="4EA63420" w14:textId="4CA916C7" w:rsidR="0058172F" w:rsidRPr="001028B6"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18: </w:t>
      </w:r>
      <w:r w:rsidR="00571887">
        <w:rPr>
          <w:b/>
          <w:bCs/>
        </w:rPr>
        <w:tab/>
      </w:r>
      <w:r w:rsidR="0058172F" w:rsidRPr="00C65694">
        <w:rPr>
          <w:b/>
          <w:bCs/>
        </w:rPr>
        <w:t>Eliminate a key driver of poor mental health by reducing homelessness</w:t>
      </w:r>
    </w:p>
    <w:p w14:paraId="4E13E0FB" w14:textId="76422D17" w:rsidR="0058172F" w:rsidRPr="00E350A3" w:rsidRDefault="0058172F" w:rsidP="00E350A3">
      <w:pPr>
        <w:shd w:val="clear" w:color="auto" w:fill="DEEAF6" w:themeFill="accent5" w:themeFillTint="33"/>
        <w:spacing w:line="276" w:lineRule="auto"/>
        <w:ind w:left="426"/>
      </w:pPr>
      <w:r w:rsidRPr="00C65694">
        <w:t>The Victorian Government should resource the supply of safe, stable and affordable housing, including access to housing for people experiencing family violence, leaving custody or inpatient units, and for integrated rehabilitation housing programs and Specialist Disability Accommodation.</w:t>
      </w:r>
    </w:p>
    <w:p w14:paraId="6BAAEA21" w14:textId="77777777" w:rsidR="0058172F" w:rsidRDefault="0058172F" w:rsidP="00E350A3">
      <w:pPr>
        <w:pStyle w:val="Heading1"/>
        <w:spacing w:after="240"/>
      </w:pPr>
      <w:bookmarkStart w:id="4676" w:name="_Toc41472232"/>
      <w:bookmarkStart w:id="4677" w:name="_Toc41472990"/>
      <w:bookmarkStart w:id="4678" w:name="_Toc41577661"/>
      <w:bookmarkStart w:id="4679" w:name="_Toc41651985"/>
      <w:r>
        <w:t>Mental health system oversight</w:t>
      </w:r>
      <w:bookmarkEnd w:id="4676"/>
      <w:bookmarkEnd w:id="4677"/>
      <w:bookmarkEnd w:id="4678"/>
      <w:bookmarkEnd w:id="4679"/>
    </w:p>
    <w:p w14:paraId="16E4D1E0" w14:textId="56953D58" w:rsidR="0058172F" w:rsidRPr="00E350A3" w:rsidRDefault="00C65694" w:rsidP="00E350A3">
      <w:pPr>
        <w:shd w:val="clear" w:color="auto" w:fill="DEEAF6" w:themeFill="accent5" w:themeFillTint="33"/>
        <w:spacing w:line="240" w:lineRule="auto"/>
        <w:ind w:left="2835" w:hanging="2409"/>
      </w:pPr>
      <w:r w:rsidRPr="00B9060C">
        <w:rPr>
          <w:b/>
          <w:bCs/>
        </w:rPr>
        <w:t xml:space="preserve">Recommendation </w:t>
      </w:r>
      <w:r>
        <w:rPr>
          <w:b/>
          <w:bCs/>
        </w:rPr>
        <w:t xml:space="preserve">19: </w:t>
      </w:r>
      <w:r w:rsidR="00571887">
        <w:rPr>
          <w:b/>
          <w:bCs/>
        </w:rPr>
        <w:tab/>
      </w:r>
      <w:r w:rsidR="0058172F" w:rsidRPr="00E350A3">
        <w:rPr>
          <w:b/>
          <w:bCs/>
        </w:rPr>
        <w:t>Allow consumers with decision-making capacity to make treatment decisions</w:t>
      </w:r>
    </w:p>
    <w:p w14:paraId="635448C7" w14:textId="77777777" w:rsidR="0058172F" w:rsidRPr="00E350A3" w:rsidRDefault="0058172F" w:rsidP="00E350A3">
      <w:pPr>
        <w:shd w:val="clear" w:color="auto" w:fill="DEEAF6" w:themeFill="accent5" w:themeFillTint="33"/>
        <w:ind w:left="426"/>
      </w:pPr>
      <w:r w:rsidRPr="00E350A3">
        <w:t xml:space="preserve">The Victorian Government should amend the Mental Health Act to allow consumers with decision-making capacity to refuse treatment, unless immediate treatment is necessary to prevent serious harm to another person. </w:t>
      </w:r>
    </w:p>
    <w:p w14:paraId="3378E24B" w14:textId="28586C94" w:rsidR="0058172F" w:rsidRPr="001028B6" w:rsidRDefault="00C65694" w:rsidP="00E350A3">
      <w:pPr>
        <w:shd w:val="clear" w:color="auto" w:fill="DEEAF6" w:themeFill="accent5" w:themeFillTint="33"/>
        <w:ind w:left="2835" w:hanging="2409"/>
      </w:pPr>
      <w:r w:rsidRPr="00B9060C">
        <w:rPr>
          <w:b/>
          <w:bCs/>
        </w:rPr>
        <w:t xml:space="preserve">Recommendation </w:t>
      </w:r>
      <w:r>
        <w:rPr>
          <w:b/>
          <w:bCs/>
        </w:rPr>
        <w:t xml:space="preserve">20: </w:t>
      </w:r>
      <w:r w:rsidR="00571887">
        <w:rPr>
          <w:b/>
          <w:bCs/>
        </w:rPr>
        <w:tab/>
      </w:r>
      <w:r w:rsidR="0058172F" w:rsidRPr="00C65694">
        <w:rPr>
          <w:b/>
          <w:bCs/>
        </w:rPr>
        <w:t>Update substitute decision-making framework in the Mental Health Act</w:t>
      </w:r>
    </w:p>
    <w:p w14:paraId="3F8E3595" w14:textId="77777777" w:rsidR="0058172F" w:rsidRPr="00C65694" w:rsidRDefault="0058172F" w:rsidP="00E350A3">
      <w:pPr>
        <w:shd w:val="clear" w:color="auto" w:fill="DEEAF6" w:themeFill="accent5" w:themeFillTint="33"/>
        <w:ind w:left="426"/>
      </w:pPr>
      <w:r w:rsidRPr="00C65694">
        <w:lastRenderedPageBreak/>
        <w:t xml:space="preserve">The Victorian Government should amend the Mental Health Act to make the substituted decision-making framework consistent with the </w:t>
      </w:r>
      <w:r w:rsidRPr="00E350A3">
        <w:t>Guardianship and Administration Act 2019</w:t>
      </w:r>
      <w:r w:rsidRPr="00C65694">
        <w:t xml:space="preserve"> (Vic) by requiring a substitute decision-maker to give all practical and appropriate effect to a person’s will and preference.</w:t>
      </w:r>
    </w:p>
    <w:p w14:paraId="4DAA62E7" w14:textId="634A29E7" w:rsidR="0058172F" w:rsidRPr="001028B6" w:rsidRDefault="00C65694" w:rsidP="00E350A3">
      <w:pPr>
        <w:shd w:val="clear" w:color="auto" w:fill="DEEAF6" w:themeFill="accent5" w:themeFillTint="33"/>
        <w:ind w:left="2835" w:hanging="2409"/>
      </w:pPr>
      <w:r w:rsidRPr="00B9060C">
        <w:rPr>
          <w:b/>
          <w:bCs/>
        </w:rPr>
        <w:t xml:space="preserve">Recommendation </w:t>
      </w:r>
      <w:r>
        <w:rPr>
          <w:b/>
          <w:bCs/>
        </w:rPr>
        <w:t xml:space="preserve">21: </w:t>
      </w:r>
      <w:r w:rsidR="00571887">
        <w:rPr>
          <w:b/>
          <w:bCs/>
        </w:rPr>
        <w:tab/>
      </w:r>
      <w:r w:rsidR="0058172F" w:rsidRPr="00C65694">
        <w:rPr>
          <w:b/>
          <w:bCs/>
        </w:rPr>
        <w:t>Insert a presumption that Mental Health Act treatment criteria do not apply</w:t>
      </w:r>
    </w:p>
    <w:p w14:paraId="1CA12697" w14:textId="77777777" w:rsidR="0058172F" w:rsidRPr="00C65694" w:rsidRDefault="0058172F" w:rsidP="00E350A3">
      <w:pPr>
        <w:shd w:val="clear" w:color="auto" w:fill="DEEAF6" w:themeFill="accent5" w:themeFillTint="33"/>
        <w:ind w:left="426"/>
      </w:pPr>
      <w:r w:rsidRPr="00C65694">
        <w:t>The Victorian Government should amend the Mental Health Act to include a requirement that a person determining whether the treatment criteria apply must presume that each of the treatment criteria does not apply.</w:t>
      </w:r>
    </w:p>
    <w:p w14:paraId="6D522D32" w14:textId="2F366F57" w:rsidR="0058172F" w:rsidRPr="00C65694" w:rsidRDefault="00C65694" w:rsidP="00E350A3">
      <w:pPr>
        <w:shd w:val="clear" w:color="auto" w:fill="DEEAF6" w:themeFill="accent5" w:themeFillTint="33"/>
        <w:ind w:left="2835" w:hanging="2409"/>
      </w:pPr>
      <w:r w:rsidRPr="00B9060C">
        <w:rPr>
          <w:b/>
          <w:bCs/>
        </w:rPr>
        <w:t xml:space="preserve">Recommendation </w:t>
      </w:r>
      <w:r>
        <w:rPr>
          <w:b/>
          <w:bCs/>
        </w:rPr>
        <w:t xml:space="preserve">22: </w:t>
      </w:r>
      <w:r w:rsidR="00571887">
        <w:rPr>
          <w:b/>
          <w:bCs/>
        </w:rPr>
        <w:tab/>
      </w:r>
      <w:r w:rsidR="0058172F" w:rsidRPr="00C65694">
        <w:rPr>
          <w:b/>
          <w:bCs/>
        </w:rPr>
        <w:t>Empower the Mental Health Tribunal to make prospective community treatment orders</w:t>
      </w:r>
    </w:p>
    <w:p w14:paraId="049CB5CD" w14:textId="77777777" w:rsidR="0058172F" w:rsidRPr="00C65694" w:rsidRDefault="0058172F" w:rsidP="00E350A3">
      <w:pPr>
        <w:shd w:val="clear" w:color="auto" w:fill="DEEAF6" w:themeFill="accent5" w:themeFillTint="33"/>
        <w:ind w:left="426"/>
      </w:pPr>
      <w:r w:rsidRPr="00C65694">
        <w:t>The Victorian Government should amend the Mental Health Act to allow the Mental Health Tribunal to make an order that the authorised psychiatrist vary the order to a Community Treatment Order within a period specified by the Mental Health Tribunal.</w:t>
      </w:r>
    </w:p>
    <w:p w14:paraId="0AF73CD6" w14:textId="565A3013" w:rsidR="0058172F" w:rsidRPr="001028B6" w:rsidRDefault="00C65694" w:rsidP="00E350A3">
      <w:pPr>
        <w:shd w:val="clear" w:color="auto" w:fill="DEEAF6" w:themeFill="accent5" w:themeFillTint="33"/>
        <w:ind w:left="2835" w:hanging="2409"/>
      </w:pPr>
      <w:r w:rsidRPr="00B9060C">
        <w:rPr>
          <w:b/>
          <w:bCs/>
        </w:rPr>
        <w:t xml:space="preserve">Recommendation </w:t>
      </w:r>
      <w:r>
        <w:rPr>
          <w:b/>
          <w:bCs/>
        </w:rPr>
        <w:t xml:space="preserve">23: </w:t>
      </w:r>
      <w:r w:rsidR="00571887">
        <w:rPr>
          <w:b/>
          <w:bCs/>
        </w:rPr>
        <w:tab/>
      </w:r>
      <w:r w:rsidR="0058172F" w:rsidRPr="00C65694">
        <w:rPr>
          <w:b/>
          <w:bCs/>
        </w:rPr>
        <w:t>Increase oversight of restrictions on consumers’ rights</w:t>
      </w:r>
    </w:p>
    <w:p w14:paraId="49E59C88" w14:textId="77777777" w:rsidR="0058172F" w:rsidRPr="00C65694" w:rsidRDefault="0058172F" w:rsidP="00E350A3">
      <w:pPr>
        <w:shd w:val="clear" w:color="auto" w:fill="DEEAF6" w:themeFill="accent5" w:themeFillTint="33"/>
        <w:ind w:left="426"/>
      </w:pPr>
      <w:r w:rsidRPr="00C65694">
        <w:t>The Victorian Government should consider measures to provide increased oversight of decisions made under the Mental Health Act that restrict a person’s rights, that are currently not subject to review by the Mental Health Tribunal.</w:t>
      </w:r>
    </w:p>
    <w:p w14:paraId="08B2EF7E" w14:textId="4DE84BDA" w:rsidR="0058172F" w:rsidRPr="001028B6" w:rsidRDefault="00C65694" w:rsidP="00E350A3">
      <w:pPr>
        <w:shd w:val="clear" w:color="auto" w:fill="DEEAF6" w:themeFill="accent5" w:themeFillTint="33"/>
        <w:ind w:left="2835" w:hanging="2409"/>
      </w:pPr>
      <w:r w:rsidRPr="00B9060C">
        <w:rPr>
          <w:b/>
          <w:bCs/>
        </w:rPr>
        <w:t xml:space="preserve">Recommendation </w:t>
      </w:r>
      <w:r>
        <w:rPr>
          <w:b/>
          <w:bCs/>
        </w:rPr>
        <w:t>24:</w:t>
      </w:r>
      <w:r w:rsidR="00E96257">
        <w:rPr>
          <w:b/>
          <w:bCs/>
        </w:rPr>
        <w:tab/>
      </w:r>
      <w:r w:rsidR="0058172F" w:rsidRPr="00C65694">
        <w:rPr>
          <w:b/>
          <w:bCs/>
        </w:rPr>
        <w:t>Introduce Mental Health Tribunal evaluation measures</w:t>
      </w:r>
    </w:p>
    <w:p w14:paraId="539A5F55" w14:textId="6859D163" w:rsidR="0058172F" w:rsidRPr="00C65694" w:rsidRDefault="0058172F" w:rsidP="00E350A3">
      <w:pPr>
        <w:shd w:val="clear" w:color="auto" w:fill="DEEAF6" w:themeFill="accent5" w:themeFillTint="33"/>
        <w:ind w:left="426"/>
      </w:pPr>
      <w:r w:rsidRPr="00C65694">
        <w:t xml:space="preserve">The Victorian Government should </w:t>
      </w:r>
      <w:r w:rsidR="004A7139" w:rsidRPr="00C65694">
        <w:t xml:space="preserve">introduce quality assurance mechanisms and measures </w:t>
      </w:r>
      <w:r w:rsidRPr="00C65694">
        <w:t>to evaluate the effectiveness of Mental Health Tribunal processes and decision making. Measures should include consumer experience.</w:t>
      </w:r>
    </w:p>
    <w:p w14:paraId="6448204F" w14:textId="24C2648D" w:rsidR="0058172F" w:rsidRPr="001028B6" w:rsidRDefault="00C65694" w:rsidP="00E350A3">
      <w:pPr>
        <w:shd w:val="clear" w:color="auto" w:fill="DEEAF6" w:themeFill="accent5" w:themeFillTint="33"/>
        <w:ind w:left="2835" w:hanging="2409"/>
      </w:pPr>
      <w:r w:rsidRPr="00B9060C">
        <w:rPr>
          <w:b/>
          <w:bCs/>
        </w:rPr>
        <w:t xml:space="preserve">Recommendation </w:t>
      </w:r>
      <w:r>
        <w:rPr>
          <w:b/>
          <w:bCs/>
        </w:rPr>
        <w:t xml:space="preserve">25: </w:t>
      </w:r>
      <w:r w:rsidR="00E96257">
        <w:rPr>
          <w:b/>
          <w:bCs/>
        </w:rPr>
        <w:tab/>
      </w:r>
      <w:r w:rsidR="0058172F" w:rsidRPr="00C65694">
        <w:rPr>
          <w:b/>
          <w:bCs/>
        </w:rPr>
        <w:t>Improve data collection and public reporting of mental health services</w:t>
      </w:r>
    </w:p>
    <w:p w14:paraId="3E0C6E23" w14:textId="77777777" w:rsidR="0058172F" w:rsidRPr="00554841" w:rsidRDefault="0058172F" w:rsidP="00E350A3">
      <w:pPr>
        <w:shd w:val="clear" w:color="auto" w:fill="DEEAF6" w:themeFill="accent5" w:themeFillTint="33"/>
        <w:ind w:left="426"/>
      </w:pPr>
      <w:r w:rsidRPr="00C65694">
        <w:t>The Department of Health and Human Services and the Mental Health Tribunal should publicly report service</w:t>
      </w:r>
      <w:r w:rsidRPr="00C65694" w:rsidDel="002B2DA3">
        <w:t xml:space="preserve"> </w:t>
      </w:r>
      <w:r w:rsidRPr="00C65694">
        <w:t>level and demographic data to improve transparency and accountability, and support service planning and delivery.</w:t>
      </w:r>
    </w:p>
    <w:p w14:paraId="7DE9FCB8" w14:textId="50982986" w:rsidR="0058172F" w:rsidRPr="00C65694" w:rsidRDefault="00C65694" w:rsidP="00E350A3">
      <w:pPr>
        <w:shd w:val="clear" w:color="auto" w:fill="DEEAF6" w:themeFill="accent5" w:themeFillTint="33"/>
        <w:ind w:left="2835" w:hanging="2409"/>
      </w:pPr>
      <w:r w:rsidRPr="00B9060C">
        <w:rPr>
          <w:b/>
          <w:bCs/>
        </w:rPr>
        <w:t xml:space="preserve">Recommendation </w:t>
      </w:r>
      <w:r>
        <w:rPr>
          <w:b/>
          <w:bCs/>
        </w:rPr>
        <w:t xml:space="preserve">26: </w:t>
      </w:r>
      <w:r w:rsidR="00E96257">
        <w:rPr>
          <w:b/>
          <w:bCs/>
        </w:rPr>
        <w:tab/>
      </w:r>
      <w:r w:rsidR="0058172F" w:rsidRPr="00C65694">
        <w:rPr>
          <w:b/>
          <w:bCs/>
        </w:rPr>
        <w:t>Introduce a state</w:t>
      </w:r>
      <w:r w:rsidR="003224BD" w:rsidRPr="00C65694">
        <w:rPr>
          <w:b/>
          <w:bCs/>
        </w:rPr>
        <w:t>-</w:t>
      </w:r>
      <w:r w:rsidR="0058172F" w:rsidRPr="00C65694">
        <w:rPr>
          <w:b/>
          <w:bCs/>
        </w:rPr>
        <w:t>wide mental health system monitoring and evaluation framework for Victoria</w:t>
      </w:r>
    </w:p>
    <w:p w14:paraId="14910E0A" w14:textId="77777777" w:rsidR="0058172F" w:rsidRPr="00C65694" w:rsidRDefault="0058172F" w:rsidP="00E350A3">
      <w:pPr>
        <w:shd w:val="clear" w:color="auto" w:fill="DEEAF6" w:themeFill="accent5" w:themeFillTint="33"/>
        <w:ind w:left="426"/>
      </w:pPr>
      <w:r w:rsidRPr="00C65694">
        <w:t xml:space="preserve">The Department of Health and Human Services, Mental Health Reform Victoria or an appropriate regulator should work with mental health services and consumers to develop a state-wide monitoring and evaluation framework which sets out clearly defined targets, basic standards and objectives for the mental health system. </w:t>
      </w:r>
    </w:p>
    <w:p w14:paraId="1BD45E64" w14:textId="787DCB46" w:rsidR="0058172F" w:rsidRPr="00C65694" w:rsidRDefault="00C65694" w:rsidP="00E350A3">
      <w:pPr>
        <w:shd w:val="clear" w:color="auto" w:fill="DEEAF6" w:themeFill="accent5" w:themeFillTint="33"/>
        <w:ind w:left="2835" w:hanging="2409"/>
      </w:pPr>
      <w:r w:rsidRPr="00B9060C">
        <w:rPr>
          <w:b/>
          <w:bCs/>
        </w:rPr>
        <w:t xml:space="preserve">Recommendation </w:t>
      </w:r>
      <w:r>
        <w:rPr>
          <w:b/>
          <w:bCs/>
        </w:rPr>
        <w:t xml:space="preserve">27: </w:t>
      </w:r>
      <w:r w:rsidR="00E96257">
        <w:rPr>
          <w:b/>
          <w:bCs/>
        </w:rPr>
        <w:tab/>
      </w:r>
      <w:r w:rsidR="0058172F" w:rsidRPr="00C65694">
        <w:rPr>
          <w:b/>
          <w:bCs/>
        </w:rPr>
        <w:t>Require co-produced monitoring and evaluation frameworks for mental health services</w:t>
      </w:r>
    </w:p>
    <w:p w14:paraId="3D35E41E" w14:textId="77777777" w:rsidR="0058172F" w:rsidRPr="00C65694" w:rsidRDefault="0058172F" w:rsidP="00E350A3">
      <w:pPr>
        <w:shd w:val="clear" w:color="auto" w:fill="DEEAF6" w:themeFill="accent5" w:themeFillTint="33"/>
        <w:ind w:left="426"/>
      </w:pPr>
      <w:r w:rsidRPr="00C65694">
        <w:t>Mental Health Reform Victoria or an appropriate regulator should ensure mental health services develop co-produced service-based monitoring and evaluation frameworks tailored to the needs of consumers accessing each service to ensure effective implementation of existing and new policies and guidelines.</w:t>
      </w:r>
    </w:p>
    <w:p w14:paraId="577D18CE" w14:textId="25B6CEE5" w:rsidR="0058172F" w:rsidRPr="00554841" w:rsidRDefault="00C65694" w:rsidP="00E350A3">
      <w:pPr>
        <w:shd w:val="clear" w:color="auto" w:fill="DEEAF6" w:themeFill="accent5" w:themeFillTint="33"/>
        <w:ind w:left="426"/>
      </w:pPr>
      <w:r w:rsidRPr="00B9060C">
        <w:rPr>
          <w:b/>
          <w:bCs/>
        </w:rPr>
        <w:t xml:space="preserve">Recommendation </w:t>
      </w:r>
      <w:r>
        <w:rPr>
          <w:b/>
          <w:bCs/>
        </w:rPr>
        <w:t xml:space="preserve">28: </w:t>
      </w:r>
      <w:r w:rsidR="00E96257">
        <w:rPr>
          <w:b/>
          <w:bCs/>
        </w:rPr>
        <w:tab/>
      </w:r>
      <w:r w:rsidR="0058172F" w:rsidRPr="00C65694">
        <w:rPr>
          <w:b/>
          <w:bCs/>
        </w:rPr>
        <w:t>Ensure greater oversight and regulation of mental health system</w:t>
      </w:r>
      <w:r w:rsidR="0058172F" w:rsidRPr="001028B6" w:rsidDel="00935819">
        <w:t xml:space="preserve"> </w:t>
      </w:r>
    </w:p>
    <w:p w14:paraId="752D82BB" w14:textId="77777777" w:rsidR="0058172F" w:rsidRPr="00C65694" w:rsidRDefault="0058172F" w:rsidP="00E350A3">
      <w:pPr>
        <w:shd w:val="clear" w:color="auto" w:fill="DEEAF6" w:themeFill="accent5" w:themeFillTint="33"/>
        <w:ind w:left="426"/>
      </w:pPr>
      <w:r w:rsidRPr="00C65694">
        <w:lastRenderedPageBreak/>
        <w:t>The Royal Commission should ensure greater oversight and regulation of Victoria’s mental health system, including consideration of appropriate system regulator/s.</w:t>
      </w:r>
      <w:r w:rsidRPr="00C65694" w:rsidDel="00935819">
        <w:t xml:space="preserve"> </w:t>
      </w:r>
    </w:p>
    <w:p w14:paraId="6DFD2F59" w14:textId="712BF6B0" w:rsidR="0058172F" w:rsidRPr="001028B6" w:rsidRDefault="00C65694" w:rsidP="00E350A3">
      <w:pPr>
        <w:shd w:val="clear" w:color="auto" w:fill="DEEAF6" w:themeFill="accent5" w:themeFillTint="33"/>
        <w:ind w:left="426"/>
      </w:pPr>
      <w:r w:rsidRPr="00B9060C">
        <w:rPr>
          <w:b/>
          <w:bCs/>
        </w:rPr>
        <w:t xml:space="preserve">Recommendation </w:t>
      </w:r>
      <w:r>
        <w:rPr>
          <w:b/>
          <w:bCs/>
        </w:rPr>
        <w:t xml:space="preserve">29: </w:t>
      </w:r>
      <w:r w:rsidR="00E96257">
        <w:rPr>
          <w:b/>
          <w:bCs/>
        </w:rPr>
        <w:tab/>
      </w:r>
      <w:r w:rsidR="0058172F" w:rsidRPr="00C65694">
        <w:rPr>
          <w:b/>
          <w:bCs/>
        </w:rPr>
        <w:t>Improving complaint handling mechanisms</w:t>
      </w:r>
    </w:p>
    <w:p w14:paraId="250E6D6F" w14:textId="77777777" w:rsidR="0058172F" w:rsidRPr="00554841" w:rsidRDefault="0058172F" w:rsidP="00E350A3">
      <w:pPr>
        <w:shd w:val="clear" w:color="auto" w:fill="DEEAF6" w:themeFill="accent5" w:themeFillTint="33"/>
        <w:ind w:left="426"/>
      </w:pPr>
      <w:r w:rsidRPr="00554841">
        <w:t>The Victorian Government should improve the handling of complaints relating to mental health services by</w:t>
      </w:r>
    </w:p>
    <w:p w14:paraId="15222C91" w14:textId="63B2CB60" w:rsidR="00C65694" w:rsidRPr="00C65694" w:rsidRDefault="0058172F" w:rsidP="00984FB7">
      <w:pPr>
        <w:pStyle w:val="ListParagraph"/>
        <w:numPr>
          <w:ilvl w:val="0"/>
          <w:numId w:val="23"/>
        </w:numPr>
        <w:shd w:val="clear" w:color="auto" w:fill="DEEAF6" w:themeFill="accent5" w:themeFillTint="33"/>
        <w:ind w:left="851" w:hanging="425"/>
      </w:pPr>
      <w:r w:rsidRPr="00C65694">
        <w:t>increasing resources to improve complaint resolution;</w:t>
      </w:r>
    </w:p>
    <w:p w14:paraId="12168473" w14:textId="5D311244" w:rsidR="00C65694" w:rsidRPr="00C65694" w:rsidRDefault="0058172F" w:rsidP="00984FB7">
      <w:pPr>
        <w:pStyle w:val="ListParagraph"/>
        <w:numPr>
          <w:ilvl w:val="0"/>
          <w:numId w:val="23"/>
        </w:numPr>
        <w:shd w:val="clear" w:color="auto" w:fill="DEEAF6" w:themeFill="accent5" w:themeFillTint="33"/>
        <w:ind w:left="851" w:hanging="425"/>
      </w:pPr>
      <w:r w:rsidRPr="00C65694">
        <w:t>clarifying and developing pathways for consumers to pursue claims for compensation or other redress following substantiated complaints; and</w:t>
      </w:r>
    </w:p>
    <w:p w14:paraId="5726A5EF" w14:textId="2E1B32CF" w:rsidR="0058172F" w:rsidRPr="00E350A3" w:rsidRDefault="0058172F" w:rsidP="00984FB7">
      <w:pPr>
        <w:pStyle w:val="ListParagraph"/>
        <w:numPr>
          <w:ilvl w:val="0"/>
          <w:numId w:val="23"/>
        </w:numPr>
        <w:shd w:val="clear" w:color="auto" w:fill="DEEAF6" w:themeFill="accent5" w:themeFillTint="33"/>
        <w:ind w:left="851" w:hanging="425"/>
      </w:pPr>
      <w:r w:rsidRPr="00C65694">
        <w:t>requiring public reporting of service level complaints data, systemic learnings and quality improvements.</w:t>
      </w:r>
    </w:p>
    <w:p w14:paraId="00B8B358" w14:textId="25114E7E" w:rsidR="0058172F" w:rsidRDefault="0058172F" w:rsidP="0058172F">
      <w:pPr>
        <w:pStyle w:val="Heading1"/>
        <w:spacing w:before="480"/>
      </w:pPr>
      <w:bookmarkStart w:id="4680" w:name="_Toc41472233"/>
      <w:bookmarkStart w:id="4681" w:name="_Toc41472991"/>
      <w:bookmarkStart w:id="4682" w:name="_Toc41577662"/>
      <w:bookmarkStart w:id="4683" w:name="_Toc41651986"/>
      <w:r>
        <w:t>Human rights and discrimination la</w:t>
      </w:r>
      <w:bookmarkEnd w:id="4680"/>
      <w:bookmarkEnd w:id="4681"/>
      <w:r w:rsidR="00FC386B">
        <w:t>w</w:t>
      </w:r>
      <w:bookmarkEnd w:id="4682"/>
      <w:bookmarkEnd w:id="4683"/>
    </w:p>
    <w:p w14:paraId="48C4F190" w14:textId="080519E3" w:rsidR="0058172F" w:rsidRPr="001028B6" w:rsidRDefault="001706E3" w:rsidP="00E350A3">
      <w:pPr>
        <w:shd w:val="clear" w:color="auto" w:fill="DEEAF6" w:themeFill="accent5" w:themeFillTint="33"/>
        <w:spacing w:line="240" w:lineRule="auto"/>
        <w:ind w:left="426"/>
      </w:pPr>
      <w:r w:rsidRPr="00B9060C">
        <w:rPr>
          <w:b/>
          <w:bCs/>
        </w:rPr>
        <w:t xml:space="preserve">Recommendation </w:t>
      </w:r>
      <w:r>
        <w:rPr>
          <w:b/>
          <w:bCs/>
        </w:rPr>
        <w:t xml:space="preserve">30: </w:t>
      </w:r>
      <w:r w:rsidR="00E96257">
        <w:rPr>
          <w:b/>
          <w:bCs/>
        </w:rPr>
        <w:tab/>
      </w:r>
      <w:r w:rsidR="0058172F" w:rsidRPr="001706E3">
        <w:rPr>
          <w:b/>
          <w:bCs/>
        </w:rPr>
        <w:t>Implement a framework to eliminate use of restrictive interventions</w:t>
      </w:r>
    </w:p>
    <w:p w14:paraId="4673FCCD" w14:textId="77777777" w:rsidR="0058172F" w:rsidRPr="00E350A3" w:rsidRDefault="0058172F" w:rsidP="00E350A3">
      <w:pPr>
        <w:shd w:val="clear" w:color="auto" w:fill="DEEAF6" w:themeFill="accent5" w:themeFillTint="33"/>
        <w:ind w:left="426"/>
      </w:pPr>
      <w:r w:rsidRPr="001706E3">
        <w:t xml:space="preserve">The Department of Health and Human Services should publish a commitment to the reduction and elimination of restrictive practices and develop and implement co-produced strategies to achieve this. </w:t>
      </w:r>
    </w:p>
    <w:p w14:paraId="6AB62175" w14:textId="70F0B0E4" w:rsidR="0058172F" w:rsidRPr="001706E3" w:rsidRDefault="001706E3" w:rsidP="00E350A3">
      <w:pPr>
        <w:shd w:val="clear" w:color="auto" w:fill="DEEAF6" w:themeFill="accent5" w:themeFillTint="33"/>
        <w:ind w:left="2835" w:hanging="2409"/>
      </w:pPr>
      <w:r w:rsidRPr="00B9060C">
        <w:rPr>
          <w:b/>
          <w:bCs/>
        </w:rPr>
        <w:t xml:space="preserve">Recommendation </w:t>
      </w:r>
      <w:r>
        <w:rPr>
          <w:b/>
          <w:bCs/>
        </w:rPr>
        <w:t xml:space="preserve">31: </w:t>
      </w:r>
      <w:r w:rsidR="00E96257">
        <w:rPr>
          <w:b/>
          <w:bCs/>
        </w:rPr>
        <w:tab/>
      </w:r>
      <w:r w:rsidR="0058172F" w:rsidRPr="001706E3">
        <w:rPr>
          <w:b/>
          <w:bCs/>
        </w:rPr>
        <w:t>Strengthen human rights protections for consumers under the Victorian Charter</w:t>
      </w:r>
    </w:p>
    <w:p w14:paraId="682E6F4D" w14:textId="63993B9B" w:rsidR="0058172F" w:rsidRPr="00E350A3" w:rsidRDefault="0058172F" w:rsidP="00E350A3">
      <w:pPr>
        <w:shd w:val="clear" w:color="auto" w:fill="DEEAF6" w:themeFill="accent5" w:themeFillTint="33"/>
        <w:ind w:left="426"/>
      </w:pPr>
      <w:r w:rsidRPr="001706E3">
        <w:t>The Victorian Government should strengthen human rights protections for consumers by implementing recommendations from the 2015 Human Rights Charter Revie</w:t>
      </w:r>
      <w:r w:rsidR="003224BD" w:rsidRPr="001706E3">
        <w:t>w</w:t>
      </w:r>
      <w:r w:rsidRPr="001706E3">
        <w:t xml:space="preserve"> and ensuring rights to health and self-determination are protected.</w:t>
      </w:r>
    </w:p>
    <w:p w14:paraId="5870C918" w14:textId="5CBF1E8D" w:rsidR="0058172F" w:rsidRPr="001706E3" w:rsidRDefault="001706E3" w:rsidP="00E350A3">
      <w:pPr>
        <w:shd w:val="clear" w:color="auto" w:fill="DEEAF6" w:themeFill="accent5" w:themeFillTint="33"/>
        <w:ind w:left="2835" w:hanging="2409"/>
      </w:pPr>
      <w:r w:rsidRPr="00B9060C">
        <w:rPr>
          <w:b/>
          <w:bCs/>
        </w:rPr>
        <w:t xml:space="preserve">Recommendation </w:t>
      </w:r>
      <w:r>
        <w:rPr>
          <w:b/>
          <w:bCs/>
        </w:rPr>
        <w:t xml:space="preserve">32: </w:t>
      </w:r>
      <w:r w:rsidR="00E96257">
        <w:rPr>
          <w:b/>
          <w:bCs/>
        </w:rPr>
        <w:tab/>
      </w:r>
      <w:r w:rsidR="0058172F" w:rsidRPr="001706E3">
        <w:rPr>
          <w:b/>
          <w:bCs/>
        </w:rPr>
        <w:t>Incorporate the Convention on the Rights of People with Disabilities into Victorian laws</w:t>
      </w:r>
    </w:p>
    <w:p w14:paraId="79DF7BAD" w14:textId="77777777" w:rsidR="0058172F" w:rsidRPr="001706E3" w:rsidRDefault="0058172F" w:rsidP="00E350A3">
      <w:pPr>
        <w:shd w:val="clear" w:color="auto" w:fill="DEEAF6" w:themeFill="accent5" w:themeFillTint="33"/>
        <w:ind w:left="426"/>
      </w:pPr>
      <w:r w:rsidRPr="001706E3">
        <w:t>The Victorian Government should consider how Victorian laws can better implement the Convention on the Rights of People with Disabilities to better safeguard the human rights of people experiencing mental health issues.</w:t>
      </w:r>
    </w:p>
    <w:p w14:paraId="0D989383" w14:textId="2B03EDA7" w:rsidR="0058172F" w:rsidRPr="001706E3" w:rsidRDefault="001706E3" w:rsidP="00E350A3">
      <w:pPr>
        <w:shd w:val="clear" w:color="auto" w:fill="DEEAF6" w:themeFill="accent5" w:themeFillTint="33"/>
        <w:ind w:left="2835" w:hanging="2409"/>
      </w:pPr>
      <w:r w:rsidRPr="00B9060C">
        <w:rPr>
          <w:b/>
          <w:bCs/>
        </w:rPr>
        <w:t xml:space="preserve">Recommendation </w:t>
      </w:r>
      <w:r>
        <w:rPr>
          <w:b/>
          <w:bCs/>
        </w:rPr>
        <w:t>33:</w:t>
      </w:r>
      <w:r w:rsidR="00E96257">
        <w:rPr>
          <w:b/>
          <w:bCs/>
        </w:rPr>
        <w:tab/>
      </w:r>
      <w:r>
        <w:rPr>
          <w:b/>
          <w:bCs/>
        </w:rPr>
        <w:t xml:space="preserve"> </w:t>
      </w:r>
      <w:r w:rsidR="0058172F" w:rsidRPr="001706E3">
        <w:rPr>
          <w:b/>
          <w:bCs/>
        </w:rPr>
        <w:t>Ensure effective implementation of the Optional Protocol of the Convention Against Torture</w:t>
      </w:r>
    </w:p>
    <w:p w14:paraId="315FBF37" w14:textId="77777777" w:rsidR="0058172F" w:rsidRPr="001706E3" w:rsidRDefault="0058172F" w:rsidP="00E350A3">
      <w:pPr>
        <w:shd w:val="clear" w:color="auto" w:fill="DEEAF6" w:themeFill="accent5" w:themeFillTint="33"/>
        <w:ind w:left="426"/>
      </w:pPr>
      <w:r w:rsidRPr="001706E3">
        <w:t>The Victorian Government should ensure that Victorian mental health services and prisons facilitate inspections by the National Preventive Mechanism and comply with reports in a timely manner.</w:t>
      </w:r>
    </w:p>
    <w:p w14:paraId="4137646B" w14:textId="50C0DEC2" w:rsidR="0058172F" w:rsidRPr="001028B6" w:rsidRDefault="001706E3" w:rsidP="00E350A3">
      <w:pPr>
        <w:shd w:val="clear" w:color="auto" w:fill="DEEAF6" w:themeFill="accent5" w:themeFillTint="33"/>
        <w:ind w:left="426"/>
      </w:pPr>
      <w:r w:rsidRPr="00B9060C">
        <w:rPr>
          <w:b/>
          <w:bCs/>
        </w:rPr>
        <w:t xml:space="preserve">Recommendation </w:t>
      </w:r>
      <w:r>
        <w:rPr>
          <w:b/>
          <w:bCs/>
        </w:rPr>
        <w:t xml:space="preserve">34: </w:t>
      </w:r>
      <w:r w:rsidR="00E96257">
        <w:rPr>
          <w:b/>
          <w:bCs/>
        </w:rPr>
        <w:tab/>
      </w:r>
      <w:r w:rsidR="0058172F" w:rsidRPr="001706E3">
        <w:rPr>
          <w:b/>
          <w:bCs/>
        </w:rPr>
        <w:t>Reduce discrimination as a driver of mental health issues</w:t>
      </w:r>
    </w:p>
    <w:p w14:paraId="051422A2" w14:textId="77777777" w:rsidR="0058172F" w:rsidRPr="001706E3" w:rsidRDefault="0058172F" w:rsidP="00E350A3">
      <w:pPr>
        <w:shd w:val="clear" w:color="auto" w:fill="DEEAF6" w:themeFill="accent5" w:themeFillTint="33"/>
        <w:ind w:left="426"/>
      </w:pPr>
      <w:r w:rsidRPr="001706E3">
        <w:t xml:space="preserve">The Victorian Government should amend the </w:t>
      </w:r>
      <w:r w:rsidRPr="00E350A3">
        <w:t xml:space="preserve">Equal Opportunity Act 2010 </w:t>
      </w:r>
      <w:r w:rsidRPr="001706E3">
        <w:t>(Vic) to prevent discrimination as a driver of mental health issues, including by introducing an enforceable positive duty, stronger enforcement powers, and reducing the burden on individuals to bring complaints.</w:t>
      </w:r>
    </w:p>
    <w:p w14:paraId="70815872" w14:textId="6B41E4CF" w:rsidR="0058172F" w:rsidRPr="001706E3" w:rsidRDefault="001706E3" w:rsidP="00E350A3">
      <w:pPr>
        <w:shd w:val="clear" w:color="auto" w:fill="DEEAF6" w:themeFill="accent5" w:themeFillTint="33"/>
        <w:ind w:left="2835" w:hanging="2409"/>
      </w:pPr>
      <w:r w:rsidRPr="00B9060C">
        <w:rPr>
          <w:b/>
          <w:bCs/>
        </w:rPr>
        <w:t xml:space="preserve">Recommendation </w:t>
      </w:r>
      <w:r>
        <w:rPr>
          <w:b/>
          <w:bCs/>
        </w:rPr>
        <w:t xml:space="preserve">35: </w:t>
      </w:r>
      <w:r w:rsidR="00E96257">
        <w:rPr>
          <w:b/>
          <w:bCs/>
        </w:rPr>
        <w:tab/>
      </w:r>
      <w:r w:rsidR="0058172F" w:rsidRPr="001706E3">
        <w:rPr>
          <w:b/>
          <w:bCs/>
        </w:rPr>
        <w:t>Prevent and address workplace sexual harassment to reduce mental health impacts</w:t>
      </w:r>
    </w:p>
    <w:p w14:paraId="2D2B0513" w14:textId="77777777" w:rsidR="0058172F" w:rsidRPr="001706E3" w:rsidRDefault="0058172F" w:rsidP="00E350A3">
      <w:pPr>
        <w:shd w:val="clear" w:color="auto" w:fill="DEEAF6" w:themeFill="accent5" w:themeFillTint="33"/>
        <w:ind w:left="426"/>
      </w:pPr>
      <w:r w:rsidRPr="001706E3">
        <w:lastRenderedPageBreak/>
        <w:t xml:space="preserve">The Victorian Government should implement relevant Australian Human Rights Commission’s </w:t>
      </w:r>
      <w:proofErr w:type="spellStart"/>
      <w:r w:rsidRPr="001706E3">
        <w:rPr>
          <w:i/>
          <w:iCs/>
        </w:rPr>
        <w:t>Respect@Work</w:t>
      </w:r>
      <w:proofErr w:type="spellEnd"/>
      <w:r w:rsidRPr="00E350A3">
        <w:t xml:space="preserve"> </w:t>
      </w:r>
      <w:r w:rsidRPr="001706E3">
        <w:t>recommendations to reduce workplace sexual harassment as a driver of mental health issues.</w:t>
      </w:r>
    </w:p>
    <w:p w14:paraId="666E86E3" w14:textId="77777777" w:rsidR="0058172F" w:rsidRDefault="0058172F" w:rsidP="0058172F">
      <w:pPr>
        <w:pStyle w:val="Heading1"/>
      </w:pPr>
      <w:bookmarkStart w:id="4684" w:name="_Toc41472234"/>
      <w:bookmarkStart w:id="4685" w:name="_Toc41472992"/>
      <w:bookmarkStart w:id="4686" w:name="_Toc41577663"/>
      <w:bookmarkStart w:id="4687" w:name="_Toc41651987"/>
      <w:r>
        <w:t>Children and young people</w:t>
      </w:r>
      <w:bookmarkEnd w:id="4684"/>
      <w:bookmarkEnd w:id="4685"/>
      <w:bookmarkEnd w:id="4686"/>
      <w:bookmarkEnd w:id="4687"/>
    </w:p>
    <w:p w14:paraId="39399C44" w14:textId="61C36EFC" w:rsidR="0058172F" w:rsidRPr="001028B6" w:rsidRDefault="001706E3" w:rsidP="00E350A3">
      <w:pPr>
        <w:shd w:val="clear" w:color="auto" w:fill="DEEAF6" w:themeFill="accent5" w:themeFillTint="33"/>
        <w:ind w:left="426"/>
      </w:pPr>
      <w:r w:rsidRPr="00B9060C">
        <w:rPr>
          <w:b/>
          <w:bCs/>
        </w:rPr>
        <w:t xml:space="preserve">Recommendation </w:t>
      </w:r>
      <w:r>
        <w:rPr>
          <w:b/>
          <w:bCs/>
        </w:rPr>
        <w:t xml:space="preserve">36: </w:t>
      </w:r>
      <w:r w:rsidR="00E96257">
        <w:rPr>
          <w:b/>
          <w:bCs/>
        </w:rPr>
        <w:tab/>
      </w:r>
      <w:r w:rsidR="0058172F" w:rsidRPr="001706E3">
        <w:rPr>
          <w:b/>
          <w:bCs/>
        </w:rPr>
        <w:t>Guarantee specialist supports for children and young people</w:t>
      </w:r>
    </w:p>
    <w:p w14:paraId="722CA275" w14:textId="0F04C44A" w:rsidR="0058172F" w:rsidRPr="001706E3" w:rsidRDefault="0058172F" w:rsidP="00E350A3">
      <w:pPr>
        <w:shd w:val="clear" w:color="auto" w:fill="DEEAF6" w:themeFill="accent5" w:themeFillTint="33"/>
        <w:ind w:left="426"/>
      </w:pPr>
      <w:r w:rsidRPr="001706E3">
        <w:t>The Victorian government should ensure that young people can access tailored youth services state</w:t>
      </w:r>
      <w:r w:rsidR="003224BD" w:rsidRPr="001706E3">
        <w:t>-</w:t>
      </w:r>
      <w:r w:rsidRPr="001706E3">
        <w:t>wide (including inpatient care) and improve transitions from youth to adult services.</w:t>
      </w:r>
      <w:r w:rsidRPr="001706E3" w:rsidDel="009F59F6">
        <w:t xml:space="preserve"> </w:t>
      </w:r>
    </w:p>
    <w:p w14:paraId="356166D4" w14:textId="2185B4CE" w:rsidR="0058172F" w:rsidRPr="001706E3" w:rsidRDefault="001706E3" w:rsidP="00E350A3">
      <w:pPr>
        <w:shd w:val="clear" w:color="auto" w:fill="DEEAF6" w:themeFill="accent5" w:themeFillTint="33"/>
        <w:ind w:left="2835" w:hanging="2409"/>
      </w:pPr>
      <w:r w:rsidRPr="00B9060C">
        <w:rPr>
          <w:b/>
          <w:bCs/>
        </w:rPr>
        <w:t xml:space="preserve">Recommendation </w:t>
      </w:r>
      <w:r>
        <w:rPr>
          <w:b/>
          <w:bCs/>
        </w:rPr>
        <w:t xml:space="preserve">37: </w:t>
      </w:r>
      <w:r w:rsidR="00E96257">
        <w:rPr>
          <w:b/>
          <w:bCs/>
        </w:rPr>
        <w:tab/>
      </w:r>
      <w:r w:rsidR="0058172F" w:rsidRPr="001706E3">
        <w:rPr>
          <w:b/>
          <w:bCs/>
        </w:rPr>
        <w:t>Prioritise mental health supports for young people in out of home care</w:t>
      </w:r>
    </w:p>
    <w:p w14:paraId="74B2A476" w14:textId="77777777" w:rsidR="0058172F" w:rsidRPr="001706E3" w:rsidRDefault="0058172F" w:rsidP="00E350A3">
      <w:pPr>
        <w:shd w:val="clear" w:color="auto" w:fill="DEEAF6" w:themeFill="accent5" w:themeFillTint="33"/>
        <w:ind w:left="426"/>
      </w:pPr>
      <w:r w:rsidRPr="001706E3">
        <w:t xml:space="preserve">The Victorian government should ensure that all children in out of home care have access to the mental health supports they need, in recognition that children and young people in out of home care are some of Victoria’s most vulnerable community members. </w:t>
      </w:r>
    </w:p>
    <w:p w14:paraId="045C2DB8" w14:textId="217614F6" w:rsidR="0058172F" w:rsidRPr="001706E3" w:rsidRDefault="001706E3" w:rsidP="00E350A3">
      <w:pPr>
        <w:shd w:val="clear" w:color="auto" w:fill="DEEAF6" w:themeFill="accent5" w:themeFillTint="33"/>
        <w:ind w:left="2835" w:hanging="2409"/>
      </w:pPr>
      <w:r w:rsidRPr="00B9060C">
        <w:rPr>
          <w:b/>
          <w:bCs/>
        </w:rPr>
        <w:t xml:space="preserve">Recommendation </w:t>
      </w:r>
      <w:r>
        <w:rPr>
          <w:b/>
          <w:bCs/>
        </w:rPr>
        <w:t xml:space="preserve">38: </w:t>
      </w:r>
      <w:r w:rsidR="00E96257">
        <w:rPr>
          <w:b/>
          <w:bCs/>
        </w:rPr>
        <w:tab/>
      </w:r>
      <w:r w:rsidR="0058172F" w:rsidRPr="001706E3">
        <w:rPr>
          <w:b/>
          <w:bCs/>
        </w:rPr>
        <w:t xml:space="preserve">Support mental health needs to keep children with their families wherever possible </w:t>
      </w:r>
    </w:p>
    <w:p w14:paraId="5F52A038" w14:textId="77777777" w:rsidR="0058172F" w:rsidRPr="001706E3" w:rsidRDefault="0058172F" w:rsidP="00E350A3">
      <w:pPr>
        <w:shd w:val="clear" w:color="auto" w:fill="DEEAF6" w:themeFill="accent5" w:themeFillTint="33"/>
        <w:ind w:left="426"/>
      </w:pPr>
      <w:r w:rsidRPr="001706E3">
        <w:t>The Victorian government should provide clear guidance to improve the child protection system’s response to families where a parent or child is experiencing mental health issues, including greater access to mental health support services for vulnerable families.</w:t>
      </w:r>
    </w:p>
    <w:p w14:paraId="7FD95CE8" w14:textId="4A0ED7D7" w:rsidR="0058172F" w:rsidRPr="001706E3" w:rsidRDefault="001706E3" w:rsidP="00E350A3">
      <w:pPr>
        <w:shd w:val="clear" w:color="auto" w:fill="DEEAF6" w:themeFill="accent5" w:themeFillTint="33"/>
        <w:ind w:left="2835" w:hanging="2409"/>
      </w:pPr>
      <w:r w:rsidRPr="00B9060C">
        <w:rPr>
          <w:b/>
          <w:bCs/>
        </w:rPr>
        <w:t xml:space="preserve">Recommendation </w:t>
      </w:r>
      <w:r>
        <w:rPr>
          <w:b/>
          <w:bCs/>
        </w:rPr>
        <w:t xml:space="preserve">39: </w:t>
      </w:r>
      <w:r w:rsidR="00E96257">
        <w:rPr>
          <w:b/>
          <w:bCs/>
        </w:rPr>
        <w:tab/>
      </w:r>
      <w:r w:rsidR="0058172F" w:rsidRPr="001706E3">
        <w:rPr>
          <w:b/>
          <w:bCs/>
        </w:rPr>
        <w:t>Implement expert recommendations to respond appropriately to vulnerable young people’s behaviours in the home</w:t>
      </w:r>
    </w:p>
    <w:p w14:paraId="50CE24F2" w14:textId="77777777" w:rsidR="0058172F" w:rsidRPr="001706E3" w:rsidRDefault="0058172F" w:rsidP="00E350A3">
      <w:pPr>
        <w:shd w:val="clear" w:color="auto" w:fill="DEEAF6" w:themeFill="accent5" w:themeFillTint="33"/>
        <w:ind w:left="426"/>
      </w:pPr>
      <w:r w:rsidRPr="001706E3">
        <w:t xml:space="preserve">The Victorian Government should implement and adequately resource: </w:t>
      </w:r>
    </w:p>
    <w:p w14:paraId="6FFDFC37" w14:textId="2A44364D" w:rsidR="001706E3" w:rsidRPr="001706E3" w:rsidRDefault="0058172F" w:rsidP="00984FB7">
      <w:pPr>
        <w:pStyle w:val="ListParagraph"/>
        <w:numPr>
          <w:ilvl w:val="0"/>
          <w:numId w:val="24"/>
        </w:numPr>
        <w:shd w:val="clear" w:color="auto" w:fill="DEEAF6" w:themeFill="accent5" w:themeFillTint="33"/>
        <w:ind w:left="851" w:hanging="425"/>
      </w:pPr>
      <w:r w:rsidRPr="001706E3">
        <w:t xml:space="preserve">recommendations 123 to 128 from the </w:t>
      </w:r>
      <w:r w:rsidRPr="00E350A3">
        <w:t>Royal Commission into Family Violence</w:t>
      </w:r>
      <w:r w:rsidRPr="001706E3">
        <w:t xml:space="preserve"> for establishing a specialised response for adolescents; and</w:t>
      </w:r>
    </w:p>
    <w:p w14:paraId="43AF56F1" w14:textId="77777777" w:rsidR="0058172F" w:rsidRPr="00E350A3" w:rsidRDefault="0058172F" w:rsidP="00984FB7">
      <w:pPr>
        <w:pStyle w:val="ListParagraph"/>
        <w:numPr>
          <w:ilvl w:val="0"/>
          <w:numId w:val="24"/>
        </w:numPr>
        <w:shd w:val="clear" w:color="auto" w:fill="DEEAF6" w:themeFill="accent5" w:themeFillTint="33"/>
        <w:ind w:left="851" w:hanging="425"/>
      </w:pPr>
      <w:r w:rsidRPr="001706E3">
        <w:t>key recommendations of the PIPA project: Positive Interventions for Perpetrators of Adolescent violence in the home report (2020).</w:t>
      </w:r>
    </w:p>
    <w:p w14:paraId="38A738B0" w14:textId="367B2EF8" w:rsidR="0058172F" w:rsidRPr="00554841" w:rsidRDefault="001706E3" w:rsidP="00E350A3">
      <w:pPr>
        <w:shd w:val="clear" w:color="auto" w:fill="DEEAF6" w:themeFill="accent5" w:themeFillTint="33"/>
        <w:ind w:left="426"/>
      </w:pPr>
      <w:r w:rsidRPr="00B9060C">
        <w:rPr>
          <w:b/>
          <w:bCs/>
        </w:rPr>
        <w:t xml:space="preserve">Recommendation </w:t>
      </w:r>
      <w:r>
        <w:rPr>
          <w:b/>
          <w:bCs/>
        </w:rPr>
        <w:t xml:space="preserve">40: </w:t>
      </w:r>
      <w:r w:rsidR="00E96257">
        <w:rPr>
          <w:b/>
          <w:bCs/>
        </w:rPr>
        <w:tab/>
      </w:r>
      <w:r w:rsidR="0058172F" w:rsidRPr="001706E3">
        <w:rPr>
          <w:b/>
          <w:bCs/>
        </w:rPr>
        <w:t>Raise the minimum age of criminal responsibility</w:t>
      </w:r>
      <w:r w:rsidR="0058172F" w:rsidRPr="001028B6">
        <w:t xml:space="preserve"> </w:t>
      </w:r>
    </w:p>
    <w:p w14:paraId="02368950" w14:textId="77777777" w:rsidR="0058172F" w:rsidRPr="001706E3" w:rsidRDefault="0058172F" w:rsidP="00E350A3">
      <w:pPr>
        <w:shd w:val="clear" w:color="auto" w:fill="DEEAF6" w:themeFill="accent5" w:themeFillTint="33"/>
        <w:ind w:left="426"/>
      </w:pPr>
      <w:r w:rsidRPr="001706E3">
        <w:t>The Victorian Government should raise the minimum age of criminal responsibility to 14, to link young children into treatment and support to recover, rather than become entrenched in the criminal justice system.</w:t>
      </w:r>
    </w:p>
    <w:p w14:paraId="013E7F95" w14:textId="2EC5AE18" w:rsidR="0058172F" w:rsidRPr="001028B6" w:rsidRDefault="001706E3" w:rsidP="00E350A3">
      <w:pPr>
        <w:shd w:val="clear" w:color="auto" w:fill="DEEAF6" w:themeFill="accent5" w:themeFillTint="33"/>
        <w:ind w:left="426"/>
      </w:pPr>
      <w:r w:rsidRPr="00B9060C">
        <w:rPr>
          <w:b/>
          <w:bCs/>
        </w:rPr>
        <w:t xml:space="preserve">Recommendation </w:t>
      </w:r>
      <w:r>
        <w:rPr>
          <w:b/>
          <w:bCs/>
        </w:rPr>
        <w:t xml:space="preserve">41: </w:t>
      </w:r>
      <w:r w:rsidR="00E96257">
        <w:rPr>
          <w:b/>
          <w:bCs/>
        </w:rPr>
        <w:tab/>
      </w:r>
      <w:r w:rsidR="0058172F" w:rsidRPr="001706E3">
        <w:rPr>
          <w:b/>
          <w:bCs/>
        </w:rPr>
        <w:t>Youth forensic mental health response</w:t>
      </w:r>
    </w:p>
    <w:p w14:paraId="55B12F7A" w14:textId="77777777" w:rsidR="0058172F" w:rsidRPr="001706E3" w:rsidRDefault="0058172F" w:rsidP="00E350A3">
      <w:pPr>
        <w:shd w:val="clear" w:color="auto" w:fill="DEEAF6" w:themeFill="accent5" w:themeFillTint="33"/>
        <w:ind w:left="426"/>
      </w:pPr>
      <w:r w:rsidRPr="001706E3">
        <w:t>The Victorian Government should:</w:t>
      </w:r>
    </w:p>
    <w:p w14:paraId="195ED6D2" w14:textId="62974EBD" w:rsidR="001706E3" w:rsidRPr="001706E3" w:rsidRDefault="003224BD" w:rsidP="00984FB7">
      <w:pPr>
        <w:pStyle w:val="ListParagraph"/>
        <w:numPr>
          <w:ilvl w:val="0"/>
          <w:numId w:val="25"/>
        </w:numPr>
        <w:shd w:val="clear" w:color="auto" w:fill="DEEAF6" w:themeFill="accent5" w:themeFillTint="33"/>
        <w:ind w:left="851" w:hanging="425"/>
      </w:pPr>
      <w:r w:rsidRPr="001706E3">
        <w:t>e</w:t>
      </w:r>
      <w:r w:rsidR="002A132E" w:rsidRPr="001706E3">
        <w:t>xpand the availability of the Children’s Court Mental Health Advice and Response Service to all locations where the Children’s Court sits</w:t>
      </w:r>
      <w:r w:rsidRPr="001706E3">
        <w:t>;</w:t>
      </w:r>
      <w:r w:rsidR="002A132E" w:rsidRPr="001706E3">
        <w:t xml:space="preserve"> </w:t>
      </w:r>
    </w:p>
    <w:p w14:paraId="4690A708" w14:textId="68749256" w:rsidR="001706E3" w:rsidRPr="001706E3" w:rsidRDefault="003224BD" w:rsidP="00984FB7">
      <w:pPr>
        <w:pStyle w:val="ListParagraph"/>
        <w:numPr>
          <w:ilvl w:val="0"/>
          <w:numId w:val="25"/>
        </w:numPr>
        <w:shd w:val="clear" w:color="auto" w:fill="DEEAF6" w:themeFill="accent5" w:themeFillTint="33"/>
        <w:ind w:left="851" w:hanging="425"/>
      </w:pPr>
      <w:r w:rsidRPr="001706E3">
        <w:t>e</w:t>
      </w:r>
      <w:r w:rsidR="0058172F" w:rsidRPr="001706E3">
        <w:t>nsure new youth forensic mental health facilities are available on remand as well as post-sentence for young people up to 25 years of age;</w:t>
      </w:r>
      <w:r w:rsidR="002A132E" w:rsidRPr="001706E3">
        <w:t xml:space="preserve"> and</w:t>
      </w:r>
    </w:p>
    <w:p w14:paraId="45600F56" w14:textId="5B1EE9B2" w:rsidR="0058172F" w:rsidRPr="001706E3" w:rsidRDefault="003224BD" w:rsidP="00984FB7">
      <w:pPr>
        <w:pStyle w:val="ListParagraph"/>
        <w:numPr>
          <w:ilvl w:val="0"/>
          <w:numId w:val="25"/>
        </w:numPr>
        <w:shd w:val="clear" w:color="auto" w:fill="DEEAF6" w:themeFill="accent5" w:themeFillTint="33"/>
        <w:ind w:left="851" w:hanging="425"/>
      </w:pPr>
      <w:r w:rsidRPr="001706E3">
        <w:t>e</w:t>
      </w:r>
      <w:r w:rsidR="00946520" w:rsidRPr="001706E3">
        <w:t xml:space="preserve">xtend </w:t>
      </w:r>
      <w:r w:rsidR="0058172F" w:rsidRPr="001706E3">
        <w:t xml:space="preserve">nominal term limits for children under the CMIA to </w:t>
      </w:r>
      <w:r w:rsidR="00946520" w:rsidRPr="001706E3">
        <w:t xml:space="preserve">apply to </w:t>
      </w:r>
      <w:r w:rsidR="0058172F" w:rsidRPr="001706E3">
        <w:t>young people up to 25 years old, mirroring the mainstream dual track system.</w:t>
      </w:r>
    </w:p>
    <w:p w14:paraId="1139322F" w14:textId="77777777" w:rsidR="0058172F" w:rsidRDefault="0058172F" w:rsidP="0058172F">
      <w:pPr>
        <w:pStyle w:val="Heading1"/>
        <w:spacing w:before="480"/>
        <w:ind w:left="0" w:firstLine="0"/>
      </w:pPr>
      <w:bookmarkStart w:id="4688" w:name="_Toc41472235"/>
      <w:bookmarkStart w:id="4689" w:name="_Toc41472993"/>
      <w:bookmarkStart w:id="4690" w:name="_Toc41577664"/>
      <w:bookmarkStart w:id="4691" w:name="_Toc41651988"/>
      <w:r>
        <w:lastRenderedPageBreak/>
        <w:t>Criminal justice</w:t>
      </w:r>
      <w:bookmarkEnd w:id="4688"/>
      <w:bookmarkEnd w:id="4689"/>
      <w:bookmarkEnd w:id="4690"/>
      <w:bookmarkEnd w:id="4691"/>
    </w:p>
    <w:p w14:paraId="5A46E3AE" w14:textId="6416F32A" w:rsidR="0058172F" w:rsidRPr="001028B6" w:rsidRDefault="00934241" w:rsidP="00E350A3">
      <w:pPr>
        <w:shd w:val="clear" w:color="auto" w:fill="DEEAF6" w:themeFill="accent5" w:themeFillTint="33"/>
        <w:ind w:left="426"/>
      </w:pPr>
      <w:r w:rsidRPr="00B9060C">
        <w:rPr>
          <w:b/>
          <w:bCs/>
        </w:rPr>
        <w:t xml:space="preserve">Recommendation </w:t>
      </w:r>
      <w:r>
        <w:rPr>
          <w:b/>
          <w:bCs/>
        </w:rPr>
        <w:t>42:</w:t>
      </w:r>
      <w:r w:rsidR="00E96257">
        <w:rPr>
          <w:b/>
          <w:bCs/>
        </w:rPr>
        <w:tab/>
      </w:r>
      <w:r>
        <w:rPr>
          <w:b/>
          <w:bCs/>
        </w:rPr>
        <w:t xml:space="preserve"> </w:t>
      </w:r>
      <w:r w:rsidR="0058172F" w:rsidRPr="00934241">
        <w:rPr>
          <w:b/>
          <w:bCs/>
        </w:rPr>
        <w:t>Resource early intervention and community supports</w:t>
      </w:r>
    </w:p>
    <w:p w14:paraId="6C99634C" w14:textId="77777777" w:rsidR="0058172F" w:rsidRPr="00934241" w:rsidRDefault="0058172F" w:rsidP="00E350A3">
      <w:pPr>
        <w:shd w:val="clear" w:color="auto" w:fill="DEEAF6" w:themeFill="accent5" w:themeFillTint="33"/>
        <w:ind w:left="426"/>
      </w:pPr>
      <w:r w:rsidRPr="00934241">
        <w:t xml:space="preserve">The Victorian Government should resource community mental health care and treatment options, particularly between primary care and acute care, to help people manage their mental health needs before they escalate to crisis. </w:t>
      </w:r>
    </w:p>
    <w:p w14:paraId="538359B0" w14:textId="20E06E39" w:rsidR="0058172F" w:rsidRPr="00934241" w:rsidRDefault="0058172F" w:rsidP="00E350A3">
      <w:pPr>
        <w:shd w:val="clear" w:color="auto" w:fill="DEEAF6" w:themeFill="accent5" w:themeFillTint="33"/>
        <w:ind w:left="426"/>
      </w:pPr>
      <w:r w:rsidRPr="00934241">
        <w:t xml:space="preserve">See also </w:t>
      </w:r>
      <w:r w:rsidR="003224BD" w:rsidRPr="00934241">
        <w:t>r</w:t>
      </w:r>
      <w:r w:rsidRPr="00934241">
        <w:t xml:space="preserve">ecommendation 14: Work with Australian government to expand Medicare funding for Mental Health Care Plans </w:t>
      </w:r>
    </w:p>
    <w:p w14:paraId="7114912C" w14:textId="5F7B7F80" w:rsidR="0058172F" w:rsidRPr="00934241" w:rsidRDefault="00934241" w:rsidP="00E350A3">
      <w:pPr>
        <w:shd w:val="clear" w:color="auto" w:fill="DEEAF6" w:themeFill="accent5" w:themeFillTint="33"/>
        <w:ind w:left="426"/>
      </w:pPr>
      <w:r w:rsidRPr="00B9060C">
        <w:rPr>
          <w:b/>
          <w:bCs/>
        </w:rPr>
        <w:t xml:space="preserve">Recommendation </w:t>
      </w:r>
      <w:r>
        <w:rPr>
          <w:b/>
          <w:bCs/>
        </w:rPr>
        <w:t xml:space="preserve">43: </w:t>
      </w:r>
      <w:r w:rsidR="00E96257">
        <w:rPr>
          <w:b/>
          <w:bCs/>
        </w:rPr>
        <w:tab/>
      </w:r>
      <w:r w:rsidR="0058172F" w:rsidRPr="00934241">
        <w:rPr>
          <w:b/>
          <w:bCs/>
        </w:rPr>
        <w:t xml:space="preserve">Improve mental health responses to people in crisis </w:t>
      </w:r>
    </w:p>
    <w:p w14:paraId="3D1235D4" w14:textId="77777777" w:rsidR="0058172F" w:rsidRPr="00934241" w:rsidRDefault="0058172F" w:rsidP="00E350A3">
      <w:pPr>
        <w:shd w:val="clear" w:color="auto" w:fill="DEEAF6" w:themeFill="accent5" w:themeFillTint="33"/>
        <w:ind w:left="426"/>
      </w:pPr>
      <w:r w:rsidRPr="00934241">
        <w:t xml:space="preserve">The Royal Commission should consider more appropriate organisations or professionals to provide a mental health focused first response to people experiencing mental health issues, to reduce the reliance on Victoria Police as first responders and minimise unnecessary police contact. </w:t>
      </w:r>
    </w:p>
    <w:p w14:paraId="7EA7CEC4" w14:textId="1FD74B43" w:rsidR="0058172F" w:rsidRPr="00554841" w:rsidRDefault="00934241" w:rsidP="00E350A3">
      <w:pPr>
        <w:shd w:val="clear" w:color="auto" w:fill="DEEAF6" w:themeFill="accent5" w:themeFillTint="33"/>
        <w:ind w:left="426"/>
      </w:pPr>
      <w:r w:rsidRPr="00B9060C">
        <w:rPr>
          <w:b/>
          <w:bCs/>
        </w:rPr>
        <w:t xml:space="preserve">Recommendation </w:t>
      </w:r>
      <w:r>
        <w:rPr>
          <w:b/>
          <w:bCs/>
        </w:rPr>
        <w:t xml:space="preserve">44: </w:t>
      </w:r>
      <w:r w:rsidR="00E96257">
        <w:rPr>
          <w:b/>
          <w:bCs/>
        </w:rPr>
        <w:tab/>
      </w:r>
      <w:r w:rsidR="0058172F" w:rsidRPr="00934241">
        <w:rPr>
          <w:b/>
          <w:bCs/>
        </w:rPr>
        <w:t>Consider a Victoria Police direct referral system</w:t>
      </w:r>
      <w:r w:rsidR="0058172F" w:rsidRPr="001028B6">
        <w:t xml:space="preserve"> </w:t>
      </w:r>
    </w:p>
    <w:p w14:paraId="06B443B8" w14:textId="77777777" w:rsidR="0058172F" w:rsidRPr="00934241" w:rsidRDefault="0058172F" w:rsidP="00E350A3">
      <w:pPr>
        <w:shd w:val="clear" w:color="auto" w:fill="DEEAF6" w:themeFill="accent5" w:themeFillTint="33"/>
        <w:ind w:left="426"/>
      </w:pPr>
      <w:r w:rsidRPr="00934241">
        <w:t>The Royal Commission should consider whether a Victoria Police direct referral system to adequately funded mental health services could be a genuine alternative to criminal justice responses, to enable referrals to be made in more circumstances.</w:t>
      </w:r>
    </w:p>
    <w:p w14:paraId="4C96AFE7" w14:textId="216F0330" w:rsidR="0058172F" w:rsidRPr="001028B6" w:rsidRDefault="00934241" w:rsidP="00E350A3">
      <w:pPr>
        <w:shd w:val="clear" w:color="auto" w:fill="DEEAF6" w:themeFill="accent5" w:themeFillTint="33"/>
        <w:ind w:left="2835" w:hanging="2409"/>
      </w:pPr>
      <w:r w:rsidRPr="00B9060C">
        <w:rPr>
          <w:b/>
          <w:bCs/>
        </w:rPr>
        <w:t xml:space="preserve">Recommendation </w:t>
      </w:r>
      <w:r>
        <w:rPr>
          <w:b/>
          <w:bCs/>
        </w:rPr>
        <w:t xml:space="preserve">45: </w:t>
      </w:r>
      <w:r w:rsidR="00E96257">
        <w:rPr>
          <w:b/>
          <w:bCs/>
        </w:rPr>
        <w:tab/>
      </w:r>
      <w:r w:rsidR="0058172F" w:rsidRPr="00934241">
        <w:rPr>
          <w:b/>
          <w:bCs/>
        </w:rPr>
        <w:t>Introduce health and welfare responses to minor offending behaviours</w:t>
      </w:r>
    </w:p>
    <w:p w14:paraId="4BE70463" w14:textId="77777777" w:rsidR="0058172F" w:rsidRPr="00934241" w:rsidRDefault="0058172F" w:rsidP="00E350A3">
      <w:pPr>
        <w:shd w:val="clear" w:color="auto" w:fill="DEEAF6" w:themeFill="accent5" w:themeFillTint="33"/>
        <w:ind w:left="426"/>
      </w:pPr>
      <w:r w:rsidRPr="00934241">
        <w:t>The Victorian Government should:</w:t>
      </w:r>
    </w:p>
    <w:p w14:paraId="31657946" w14:textId="5CF150A7" w:rsidR="00934241" w:rsidRPr="00E350A3" w:rsidRDefault="0058172F" w:rsidP="00984FB7">
      <w:pPr>
        <w:pStyle w:val="ListParagraph"/>
        <w:numPr>
          <w:ilvl w:val="0"/>
          <w:numId w:val="26"/>
        </w:numPr>
        <w:shd w:val="clear" w:color="auto" w:fill="DEEAF6" w:themeFill="accent5" w:themeFillTint="33"/>
        <w:ind w:left="851" w:hanging="425"/>
      </w:pPr>
      <w:r w:rsidRPr="00934241">
        <w:t xml:space="preserve">decriminalise or amend minor offences which disproportionately criminalise mental health issues, addiction and poverty, </w:t>
      </w:r>
      <w:proofErr w:type="gramStart"/>
      <w:r w:rsidRPr="00934241">
        <w:t>including:</w:t>
      </w:r>
      <w:proofErr w:type="gramEnd"/>
      <w:r w:rsidRPr="00934241">
        <w:t xml:space="preserve"> begging, offensive language,</w:t>
      </w:r>
      <w:r w:rsidRPr="00E350A3">
        <w:t xml:space="preserve"> </w:t>
      </w:r>
      <w:r w:rsidRPr="00934241">
        <w:t>using a drug of dependence or possession of quantities of a drug of dependence for personal use; and</w:t>
      </w:r>
    </w:p>
    <w:p w14:paraId="348A107D" w14:textId="77777777" w:rsidR="0058172F" w:rsidRPr="00E350A3" w:rsidRDefault="0058172F" w:rsidP="00984FB7">
      <w:pPr>
        <w:pStyle w:val="ListParagraph"/>
        <w:numPr>
          <w:ilvl w:val="0"/>
          <w:numId w:val="26"/>
        </w:numPr>
        <w:shd w:val="clear" w:color="auto" w:fill="DEEAF6" w:themeFill="accent5" w:themeFillTint="33"/>
        <w:ind w:left="851" w:hanging="425"/>
      </w:pPr>
      <w:r w:rsidRPr="00934241">
        <w:t xml:space="preserve">implement public health responses for addressing the underlying causes of these behaviours (e.g. additional housing supports, early intervention mental healthcare). </w:t>
      </w:r>
    </w:p>
    <w:p w14:paraId="2FA76028" w14:textId="028C5E42" w:rsidR="0058172F" w:rsidRPr="00554841" w:rsidRDefault="00934241" w:rsidP="00E350A3">
      <w:pPr>
        <w:shd w:val="clear" w:color="auto" w:fill="DEEAF6" w:themeFill="accent5" w:themeFillTint="33"/>
        <w:ind w:left="426"/>
      </w:pPr>
      <w:r w:rsidRPr="00B9060C">
        <w:rPr>
          <w:b/>
          <w:bCs/>
        </w:rPr>
        <w:t xml:space="preserve">Recommendation </w:t>
      </w:r>
      <w:r>
        <w:rPr>
          <w:b/>
          <w:bCs/>
        </w:rPr>
        <w:t xml:space="preserve">46: </w:t>
      </w:r>
      <w:r w:rsidR="0058172F" w:rsidRPr="00934241">
        <w:rPr>
          <w:b/>
          <w:bCs/>
        </w:rPr>
        <w:t>Increase use of cautions and diversions</w:t>
      </w:r>
      <w:r w:rsidR="0058172F" w:rsidRPr="001028B6">
        <w:t xml:space="preserve"> </w:t>
      </w:r>
    </w:p>
    <w:p w14:paraId="4320A2B7" w14:textId="77777777" w:rsidR="0058172F" w:rsidRPr="00934241" w:rsidRDefault="0058172F" w:rsidP="00E350A3">
      <w:pPr>
        <w:shd w:val="clear" w:color="auto" w:fill="DEEAF6" w:themeFill="accent5" w:themeFillTint="33"/>
        <w:ind w:left="426"/>
      </w:pPr>
      <w:r w:rsidRPr="00934241">
        <w:t>The Victorian Government should:</w:t>
      </w:r>
    </w:p>
    <w:p w14:paraId="2E18B59F" w14:textId="30B00F9A" w:rsidR="00934241" w:rsidRPr="00E350A3" w:rsidRDefault="0058172F" w:rsidP="00984FB7">
      <w:pPr>
        <w:pStyle w:val="ListParagraph"/>
        <w:numPr>
          <w:ilvl w:val="0"/>
          <w:numId w:val="27"/>
        </w:numPr>
        <w:shd w:val="clear" w:color="auto" w:fill="DEEAF6" w:themeFill="accent5" w:themeFillTint="33"/>
        <w:ind w:left="851" w:hanging="425"/>
      </w:pPr>
      <w:r w:rsidRPr="00934241">
        <w:t xml:space="preserve">introduce a legislated cautioning scheme for children and adults, with an expanded range of offences for </w:t>
      </w:r>
      <w:r w:rsidRPr="00E350A3">
        <w:t xml:space="preserve">which a caution can be given, available if the accused does ‘not deny’ the offence (rather than requiring the accused to admit the offence), and </w:t>
      </w:r>
      <w:r w:rsidRPr="00934241">
        <w:t>empowering the Children’s Court to issue cautions on the same terms as police;</w:t>
      </w:r>
    </w:p>
    <w:p w14:paraId="0397E49B" w14:textId="6D53673A" w:rsidR="00934241" w:rsidRPr="00E350A3" w:rsidRDefault="0058172F" w:rsidP="00984FB7">
      <w:pPr>
        <w:pStyle w:val="ListParagraph"/>
        <w:numPr>
          <w:ilvl w:val="0"/>
          <w:numId w:val="27"/>
        </w:numPr>
        <w:shd w:val="clear" w:color="auto" w:fill="DEEAF6" w:themeFill="accent5" w:themeFillTint="33"/>
        <w:ind w:left="851" w:hanging="425"/>
      </w:pPr>
      <w:r w:rsidRPr="00934241">
        <w:t xml:space="preserve">amend the </w:t>
      </w:r>
      <w:r w:rsidRPr="00E350A3">
        <w:t xml:space="preserve">Criminal Procedure Act 2009 </w:t>
      </w:r>
      <w:r w:rsidRPr="00934241">
        <w:t xml:space="preserve">(Vic) and the </w:t>
      </w:r>
      <w:r w:rsidRPr="00E350A3">
        <w:t xml:space="preserve">Children Youth and Families Act 2005 </w:t>
      </w:r>
      <w:r w:rsidRPr="00934241">
        <w:t xml:space="preserve">(Vic) to empower the Magistrates’ and Children’s Courts to order a court diversion without the prosecutor’s consent; and </w:t>
      </w:r>
    </w:p>
    <w:p w14:paraId="670182DB" w14:textId="77777777" w:rsidR="0058172F" w:rsidRPr="00934241" w:rsidRDefault="0058172F" w:rsidP="00984FB7">
      <w:pPr>
        <w:pStyle w:val="ListParagraph"/>
        <w:numPr>
          <w:ilvl w:val="0"/>
          <w:numId w:val="27"/>
        </w:numPr>
        <w:shd w:val="clear" w:color="auto" w:fill="DEEAF6" w:themeFill="accent5" w:themeFillTint="33"/>
        <w:ind w:left="851" w:hanging="425"/>
      </w:pPr>
      <w:r w:rsidRPr="00934241">
        <w:t>improve the availability of effective diversionary options, particularly from shared service providers or integrated partnerships which can address intersecting issues.</w:t>
      </w:r>
    </w:p>
    <w:p w14:paraId="4005EB9E" w14:textId="77777777" w:rsidR="0058172F" w:rsidRPr="00934241" w:rsidRDefault="0058172F" w:rsidP="00E350A3">
      <w:pPr>
        <w:shd w:val="clear" w:color="auto" w:fill="DEEAF6" w:themeFill="accent5" w:themeFillTint="33"/>
        <w:ind w:left="426"/>
      </w:pPr>
      <w:r w:rsidRPr="00934241">
        <w:t>Victoria Police</w:t>
      </w:r>
      <w:r w:rsidRPr="00E350A3">
        <w:t xml:space="preserve"> </w:t>
      </w:r>
      <w:r w:rsidRPr="00934241">
        <w:t>should review police cautioning and diversion policies, and provide additional training to increase use and consistency across Victoria</w:t>
      </w:r>
      <w:r w:rsidRPr="00E350A3">
        <w:t>.</w:t>
      </w:r>
    </w:p>
    <w:p w14:paraId="3E2CE0FE" w14:textId="6C5DA5D6" w:rsidR="0058172F" w:rsidRPr="00554841" w:rsidRDefault="00934241" w:rsidP="00E350A3">
      <w:pPr>
        <w:shd w:val="clear" w:color="auto" w:fill="DEEAF6" w:themeFill="accent5" w:themeFillTint="33"/>
        <w:ind w:left="426"/>
      </w:pPr>
      <w:r w:rsidRPr="00B9060C">
        <w:rPr>
          <w:b/>
          <w:bCs/>
        </w:rPr>
        <w:t xml:space="preserve">Recommendation </w:t>
      </w:r>
      <w:r>
        <w:rPr>
          <w:b/>
          <w:bCs/>
        </w:rPr>
        <w:t xml:space="preserve">47: </w:t>
      </w:r>
      <w:r w:rsidR="0058172F" w:rsidRPr="00934241">
        <w:rPr>
          <w:b/>
          <w:bCs/>
        </w:rPr>
        <w:t>Increase prosecutions initiated by Summons or Notice to Appear</w:t>
      </w:r>
      <w:r w:rsidR="0058172F" w:rsidRPr="001028B6">
        <w:t xml:space="preserve"> </w:t>
      </w:r>
    </w:p>
    <w:p w14:paraId="5AC04CE2" w14:textId="77777777" w:rsidR="0058172F" w:rsidRPr="00934241" w:rsidRDefault="0058172F" w:rsidP="00E350A3">
      <w:pPr>
        <w:shd w:val="clear" w:color="auto" w:fill="DEEAF6" w:themeFill="accent5" w:themeFillTint="33"/>
        <w:ind w:left="426"/>
      </w:pPr>
      <w:r w:rsidRPr="00E350A3">
        <w:lastRenderedPageBreak/>
        <w:t>Victoria Police should proceed by way of Summons or Notice to Appear rather than arrest whenever possible, to ensure people experiencing mental health issues can remain connected to treatment and support in the community.</w:t>
      </w:r>
    </w:p>
    <w:p w14:paraId="1E52676D" w14:textId="77777777" w:rsidR="0058172F" w:rsidRPr="00934241" w:rsidRDefault="0058172F" w:rsidP="00E350A3">
      <w:pPr>
        <w:shd w:val="clear" w:color="auto" w:fill="DEEAF6" w:themeFill="accent5" w:themeFillTint="33"/>
        <w:ind w:left="426"/>
      </w:pPr>
      <w:r w:rsidRPr="00E350A3">
        <w:t xml:space="preserve">The Victorian Government should introduce legislative amendments to increase the routine use of </w:t>
      </w:r>
      <w:r w:rsidRPr="00934241">
        <w:t>Summons or Notice to Appear for minor offending.</w:t>
      </w:r>
    </w:p>
    <w:p w14:paraId="5A567499" w14:textId="6C990118" w:rsidR="0058172F" w:rsidRPr="001028B6" w:rsidRDefault="00934241" w:rsidP="00E350A3">
      <w:pPr>
        <w:shd w:val="clear" w:color="auto" w:fill="DEEAF6" w:themeFill="accent5" w:themeFillTint="33"/>
        <w:ind w:left="426"/>
      </w:pPr>
      <w:r w:rsidRPr="00B9060C">
        <w:rPr>
          <w:b/>
          <w:bCs/>
        </w:rPr>
        <w:t xml:space="preserve">Recommendation </w:t>
      </w:r>
      <w:r>
        <w:rPr>
          <w:b/>
          <w:bCs/>
        </w:rPr>
        <w:t xml:space="preserve">48: </w:t>
      </w:r>
      <w:r w:rsidR="0058172F" w:rsidRPr="00934241">
        <w:rPr>
          <w:b/>
          <w:bCs/>
        </w:rPr>
        <w:t>Reduce impact of bail reforms on people with mental health issues</w:t>
      </w:r>
    </w:p>
    <w:p w14:paraId="715F5F35" w14:textId="77777777" w:rsidR="00E941A9" w:rsidRPr="00E350A3" w:rsidRDefault="00E941A9" w:rsidP="00E350A3">
      <w:pPr>
        <w:shd w:val="clear" w:color="auto" w:fill="DEEAF6" w:themeFill="accent5" w:themeFillTint="33"/>
        <w:ind w:left="426"/>
      </w:pPr>
      <w:r w:rsidRPr="00E350A3">
        <w:t xml:space="preserve">The Victorian Government should make minor amendments to the Bail Act 1977 (Vic) to avoid people charged with minor offending being held on remand: </w:t>
      </w:r>
    </w:p>
    <w:p w14:paraId="3C62392B" w14:textId="33AC0592" w:rsidR="00934241" w:rsidRPr="00934241" w:rsidRDefault="00E941A9" w:rsidP="00984FB7">
      <w:pPr>
        <w:pStyle w:val="ListParagraph"/>
        <w:numPr>
          <w:ilvl w:val="0"/>
          <w:numId w:val="28"/>
        </w:numPr>
        <w:shd w:val="clear" w:color="auto" w:fill="DEEAF6" w:themeFill="accent5" w:themeFillTint="33"/>
        <w:ind w:left="851" w:hanging="425"/>
      </w:pPr>
      <w:r w:rsidRPr="00934241">
        <w:t xml:space="preserve">offences against the Bail Act and committing an indictable offence while on conditional liberty should be removed from Schedule 2 of the Bail Act; </w:t>
      </w:r>
    </w:p>
    <w:p w14:paraId="38765DD6" w14:textId="695E8249" w:rsidR="00934241" w:rsidRPr="00934241" w:rsidRDefault="00E941A9" w:rsidP="00984FB7">
      <w:pPr>
        <w:pStyle w:val="ListParagraph"/>
        <w:numPr>
          <w:ilvl w:val="0"/>
          <w:numId w:val="28"/>
        </w:numPr>
        <w:shd w:val="clear" w:color="auto" w:fill="DEEAF6" w:themeFill="accent5" w:themeFillTint="33"/>
        <w:ind w:left="851" w:hanging="425"/>
      </w:pPr>
      <w:r w:rsidRPr="00934241">
        <w:t xml:space="preserve">the Bail Act should state that a person should not be remanded for an offence which is unlikely to result in a sentence of imprisonment; </w:t>
      </w:r>
    </w:p>
    <w:p w14:paraId="6D2CEDBC" w14:textId="69B918F6" w:rsidR="00934241" w:rsidRPr="00934241" w:rsidRDefault="00E941A9" w:rsidP="00984FB7">
      <w:pPr>
        <w:pStyle w:val="ListParagraph"/>
        <w:numPr>
          <w:ilvl w:val="0"/>
          <w:numId w:val="28"/>
        </w:numPr>
        <w:shd w:val="clear" w:color="auto" w:fill="DEEAF6" w:themeFill="accent5" w:themeFillTint="33"/>
        <w:ind w:left="851" w:hanging="425"/>
      </w:pPr>
      <w:r w:rsidRPr="00934241">
        <w:t xml:space="preserve">children should be exempt from the reverse onus tests in the Bail Act, to ensure that detention of children is only used a last resort rather than because of the Bail Act categories; </w:t>
      </w:r>
    </w:p>
    <w:p w14:paraId="5D3B932A" w14:textId="77777777" w:rsidR="00E941A9" w:rsidRPr="00934241" w:rsidRDefault="00E941A9" w:rsidP="00984FB7">
      <w:pPr>
        <w:pStyle w:val="ListParagraph"/>
        <w:numPr>
          <w:ilvl w:val="0"/>
          <w:numId w:val="28"/>
        </w:numPr>
        <w:shd w:val="clear" w:color="auto" w:fill="DEEAF6" w:themeFill="accent5" w:themeFillTint="33"/>
        <w:ind w:left="851" w:hanging="425"/>
      </w:pPr>
      <w:r w:rsidRPr="00934241">
        <w:t>the offence of breaching a condition of bail could be removed from the Bail Act to address their disproportionate impact on people who have difficulty complying with conditions, such as people experiencing mental health issues; and the consequences of breaching bail would then be reconsideration of the conditions or revocation of the bail.</w:t>
      </w:r>
    </w:p>
    <w:p w14:paraId="0C040F30" w14:textId="3CFEC3B6" w:rsidR="0058172F" w:rsidRPr="001028B6" w:rsidRDefault="00934241" w:rsidP="00E350A3">
      <w:pPr>
        <w:shd w:val="clear" w:color="auto" w:fill="DEEAF6" w:themeFill="accent5" w:themeFillTint="33"/>
        <w:ind w:left="426"/>
      </w:pPr>
      <w:r w:rsidRPr="00B9060C">
        <w:rPr>
          <w:b/>
          <w:bCs/>
        </w:rPr>
        <w:t xml:space="preserve">Recommendation </w:t>
      </w:r>
      <w:r>
        <w:rPr>
          <w:b/>
          <w:bCs/>
        </w:rPr>
        <w:t xml:space="preserve">49: </w:t>
      </w:r>
      <w:r w:rsidR="0058172F" w:rsidRPr="00934241">
        <w:rPr>
          <w:b/>
          <w:bCs/>
        </w:rPr>
        <w:t>Expand bail support programs</w:t>
      </w:r>
    </w:p>
    <w:p w14:paraId="12C74A6E" w14:textId="7298A50A" w:rsidR="0058172F" w:rsidRPr="00E350A3" w:rsidRDefault="0058172F" w:rsidP="00E350A3">
      <w:pPr>
        <w:shd w:val="clear" w:color="auto" w:fill="DEEAF6" w:themeFill="accent5" w:themeFillTint="33"/>
        <w:ind w:left="426"/>
      </w:pPr>
      <w:r w:rsidRPr="00934241">
        <w:t xml:space="preserve">The Victorian Government should rollout </w:t>
      </w:r>
      <w:r w:rsidR="003224BD" w:rsidRPr="00934241">
        <w:t xml:space="preserve">the Court Integrated Services Program </w:t>
      </w:r>
      <w:r w:rsidRPr="00934241">
        <w:t>state</w:t>
      </w:r>
      <w:r w:rsidR="003224BD" w:rsidRPr="00934241">
        <w:t>-</w:t>
      </w:r>
      <w:r w:rsidRPr="00934241">
        <w:t xml:space="preserve">wide, and resource a mental health specialist bail program to provide case management and link clients promptly with locally based services (e.g. an expanded and specialised </w:t>
      </w:r>
      <w:r w:rsidR="003224BD" w:rsidRPr="00934241">
        <w:t>Court Integrated Services Program</w:t>
      </w:r>
      <w:r w:rsidRPr="00934241">
        <w:t xml:space="preserve"> service).</w:t>
      </w:r>
    </w:p>
    <w:p w14:paraId="027F14F6" w14:textId="001E4954" w:rsidR="0058172F" w:rsidRPr="001028B6" w:rsidRDefault="00934241" w:rsidP="00E350A3">
      <w:pPr>
        <w:shd w:val="clear" w:color="auto" w:fill="DEEAF6" w:themeFill="accent5" w:themeFillTint="33"/>
        <w:ind w:left="426"/>
      </w:pPr>
      <w:r w:rsidRPr="00B9060C">
        <w:rPr>
          <w:b/>
          <w:bCs/>
        </w:rPr>
        <w:t xml:space="preserve">Recommendation </w:t>
      </w:r>
      <w:r>
        <w:rPr>
          <w:b/>
          <w:bCs/>
        </w:rPr>
        <w:t>50</w:t>
      </w:r>
      <w:r w:rsidRPr="00934241">
        <w:rPr>
          <w:b/>
          <w:bCs/>
        </w:rPr>
        <w:t xml:space="preserve">: </w:t>
      </w:r>
      <w:r w:rsidR="0058172F" w:rsidRPr="00934241">
        <w:rPr>
          <w:b/>
          <w:bCs/>
        </w:rPr>
        <w:t>Expand therapeutic courts</w:t>
      </w:r>
    </w:p>
    <w:p w14:paraId="6053E148" w14:textId="48334BA1" w:rsidR="0058172F" w:rsidRPr="00934241" w:rsidRDefault="0058172F" w:rsidP="00E350A3">
      <w:pPr>
        <w:shd w:val="clear" w:color="auto" w:fill="DEEAF6" w:themeFill="accent5" w:themeFillTint="33"/>
        <w:ind w:left="426"/>
      </w:pPr>
      <w:r w:rsidRPr="00934241">
        <w:t>The Victorian Government and the Magistrates’ Court should roll out state</w:t>
      </w:r>
      <w:r w:rsidR="003224BD" w:rsidRPr="00934241">
        <w:t>-</w:t>
      </w:r>
      <w:r w:rsidRPr="00934241">
        <w:t xml:space="preserve">wide access to ARC and the Drug Court, and consider expanded eligibility criteria, acknowledging that the existing facilities and skills gaps which need to be urgently addressed, particularly in regional Victoria. </w:t>
      </w:r>
    </w:p>
    <w:p w14:paraId="0CF65EAE" w14:textId="0ED3E1CE" w:rsidR="0058172F" w:rsidRPr="00554841" w:rsidRDefault="00934241" w:rsidP="00E350A3">
      <w:pPr>
        <w:shd w:val="clear" w:color="auto" w:fill="DEEAF6" w:themeFill="accent5" w:themeFillTint="33"/>
        <w:ind w:left="426"/>
      </w:pPr>
      <w:r w:rsidRPr="00B9060C">
        <w:rPr>
          <w:b/>
          <w:bCs/>
        </w:rPr>
        <w:t xml:space="preserve">Recommendation </w:t>
      </w:r>
      <w:r>
        <w:rPr>
          <w:b/>
          <w:bCs/>
        </w:rPr>
        <w:t xml:space="preserve">51: </w:t>
      </w:r>
      <w:r w:rsidR="0058172F" w:rsidRPr="00934241">
        <w:rPr>
          <w:b/>
          <w:bCs/>
        </w:rPr>
        <w:t>Enable fitness determinations in the Magistrates’ Court</w:t>
      </w:r>
      <w:r w:rsidR="0058172F" w:rsidRPr="001028B6">
        <w:t xml:space="preserve"> </w:t>
      </w:r>
    </w:p>
    <w:p w14:paraId="629AE352" w14:textId="77777777" w:rsidR="0058172F" w:rsidRPr="00E350A3" w:rsidRDefault="0058172F" w:rsidP="00E350A3">
      <w:pPr>
        <w:shd w:val="clear" w:color="auto" w:fill="DEEAF6" w:themeFill="accent5" w:themeFillTint="33"/>
        <w:ind w:left="426"/>
      </w:pPr>
      <w:r w:rsidRPr="00934241">
        <w:t xml:space="preserve">The Victorian Government </w:t>
      </w:r>
      <w:r w:rsidRPr="00E350A3">
        <w:t>and the Magistrates’ Court should develop a mechanism for assessing and determining fitness to plead or participate in proceedings in the summary jurisdiction.</w:t>
      </w:r>
    </w:p>
    <w:p w14:paraId="6B0F9DC6" w14:textId="0FD9F6FD" w:rsidR="0058172F" w:rsidRPr="001028B6" w:rsidRDefault="00934241" w:rsidP="00E350A3">
      <w:pPr>
        <w:shd w:val="clear" w:color="auto" w:fill="DEEAF6" w:themeFill="accent5" w:themeFillTint="33"/>
        <w:ind w:left="426"/>
      </w:pPr>
      <w:r w:rsidRPr="00B9060C">
        <w:rPr>
          <w:b/>
          <w:bCs/>
        </w:rPr>
        <w:t xml:space="preserve">Recommendation </w:t>
      </w:r>
      <w:r>
        <w:rPr>
          <w:b/>
          <w:bCs/>
        </w:rPr>
        <w:t xml:space="preserve">52: </w:t>
      </w:r>
      <w:r w:rsidR="0058172F" w:rsidRPr="00934241">
        <w:rPr>
          <w:b/>
          <w:bCs/>
        </w:rPr>
        <w:t>Broaden summary jurisdiction dispositions during sentencing</w:t>
      </w:r>
    </w:p>
    <w:p w14:paraId="51249EBA" w14:textId="4BE0C0B2" w:rsidR="0058172F" w:rsidRPr="00934241" w:rsidRDefault="0058172F" w:rsidP="00E350A3">
      <w:pPr>
        <w:shd w:val="clear" w:color="auto" w:fill="DEEAF6" w:themeFill="accent5" w:themeFillTint="33"/>
        <w:ind w:left="426"/>
      </w:pPr>
      <w:r w:rsidRPr="00E350A3">
        <w:t>The Victorian Government should i</w:t>
      </w:r>
      <w:r w:rsidRPr="00934241">
        <w:t xml:space="preserve">ncrease the range of dispositions available in the summary jurisdiction, to enable tailored options to support recovery where a person’s mental health </w:t>
      </w:r>
      <w:r w:rsidR="00DA080E" w:rsidRPr="00934241">
        <w:t xml:space="preserve">or functioning </w:t>
      </w:r>
      <w:r w:rsidRPr="00934241">
        <w:t xml:space="preserve">contributes to their offending, including options for referral to the civil system and forensic supervision for people found not fit or not guilty due to mental impairment. </w:t>
      </w:r>
    </w:p>
    <w:p w14:paraId="364C6CE8" w14:textId="71749E52" w:rsidR="00DA080E" w:rsidRPr="00934241" w:rsidRDefault="0058172F" w:rsidP="00E350A3">
      <w:pPr>
        <w:shd w:val="clear" w:color="auto" w:fill="DEEAF6" w:themeFill="accent5" w:themeFillTint="33"/>
        <w:ind w:left="426"/>
      </w:pPr>
      <w:r w:rsidRPr="00934241">
        <w:t xml:space="preserve">This should be accompanied by training for magistrates and judicial officers in principles of therapeutic jurisprudence and training around mental </w:t>
      </w:r>
      <w:r w:rsidR="00DA080E" w:rsidRPr="00934241">
        <w:t xml:space="preserve">impairment and </w:t>
      </w:r>
      <w:r w:rsidRPr="00934241">
        <w:t>health issues.</w:t>
      </w:r>
    </w:p>
    <w:p w14:paraId="27813143" w14:textId="48AD386B" w:rsidR="0058172F" w:rsidRPr="001028B6" w:rsidRDefault="00934241" w:rsidP="00E350A3">
      <w:pPr>
        <w:shd w:val="clear" w:color="auto" w:fill="DEEAF6" w:themeFill="accent5" w:themeFillTint="33"/>
        <w:ind w:left="426"/>
      </w:pPr>
      <w:r w:rsidRPr="00B9060C">
        <w:rPr>
          <w:b/>
          <w:bCs/>
        </w:rPr>
        <w:t xml:space="preserve">Recommendation </w:t>
      </w:r>
      <w:r>
        <w:rPr>
          <w:b/>
          <w:bCs/>
        </w:rPr>
        <w:t xml:space="preserve">53: </w:t>
      </w:r>
      <w:r w:rsidR="0058172F" w:rsidRPr="00934241">
        <w:rPr>
          <w:b/>
          <w:bCs/>
        </w:rPr>
        <w:t>Increase use of community-based sentences</w:t>
      </w:r>
    </w:p>
    <w:p w14:paraId="224BA8A4" w14:textId="77777777" w:rsidR="0058172F" w:rsidRPr="00934241" w:rsidRDefault="0058172F" w:rsidP="00E350A3">
      <w:pPr>
        <w:shd w:val="clear" w:color="auto" w:fill="DEEAF6" w:themeFill="accent5" w:themeFillTint="33"/>
        <w:ind w:left="426"/>
      </w:pPr>
      <w:r w:rsidRPr="00934241">
        <w:t xml:space="preserve">The Victorian Government should create a presumption against short sentences of imprisonment for people experiencing mental health issues (in favour of sentences which allow the person to </w:t>
      </w:r>
      <w:r w:rsidRPr="00934241">
        <w:lastRenderedPageBreak/>
        <w:t xml:space="preserve">stay in the community), combined with a requirement for reasons to be given where a sentence of less than three months imprisonment is imposed. </w:t>
      </w:r>
    </w:p>
    <w:p w14:paraId="4B915220" w14:textId="77777777" w:rsidR="0058172F" w:rsidRPr="00E350A3" w:rsidRDefault="0058172F" w:rsidP="00E350A3">
      <w:pPr>
        <w:shd w:val="clear" w:color="auto" w:fill="DEEAF6" w:themeFill="accent5" w:themeFillTint="33"/>
        <w:ind w:left="426"/>
      </w:pPr>
      <w:r w:rsidRPr="00934241">
        <w:t xml:space="preserve">The Victorian Government should resource pre-sentence programs which can provide integrated case management, intensive supervision, and prompt access to locally based clinicians and services. </w:t>
      </w:r>
    </w:p>
    <w:p w14:paraId="21087875" w14:textId="44669E8B" w:rsidR="0058172F" w:rsidRPr="00934241" w:rsidRDefault="00934241" w:rsidP="00E350A3">
      <w:pPr>
        <w:shd w:val="clear" w:color="auto" w:fill="DEEAF6" w:themeFill="accent5" w:themeFillTint="33"/>
        <w:ind w:left="426"/>
      </w:pPr>
      <w:r w:rsidRPr="00B9060C">
        <w:rPr>
          <w:b/>
          <w:bCs/>
        </w:rPr>
        <w:t xml:space="preserve">Recommendation </w:t>
      </w:r>
      <w:r>
        <w:rPr>
          <w:b/>
          <w:bCs/>
        </w:rPr>
        <w:t xml:space="preserve">54: </w:t>
      </w:r>
      <w:r w:rsidR="0058172F" w:rsidRPr="00934241">
        <w:rPr>
          <w:b/>
          <w:bCs/>
        </w:rPr>
        <w:t>Reorient Community Corrections Orders to have a therapeutic focus</w:t>
      </w:r>
    </w:p>
    <w:p w14:paraId="5D01EA62" w14:textId="77777777" w:rsidR="002A132E" w:rsidRPr="00934241" w:rsidRDefault="0058172F" w:rsidP="00E350A3">
      <w:pPr>
        <w:shd w:val="clear" w:color="auto" w:fill="DEEAF6" w:themeFill="accent5" w:themeFillTint="33"/>
        <w:ind w:left="426"/>
      </w:pPr>
      <w:r w:rsidRPr="00934241">
        <w:t>The Victorian Government should:</w:t>
      </w:r>
    </w:p>
    <w:p w14:paraId="1D10C557" w14:textId="65005928" w:rsidR="00934241" w:rsidRPr="00934241" w:rsidRDefault="0058172F" w:rsidP="00984FB7">
      <w:pPr>
        <w:pStyle w:val="ListParagraph"/>
        <w:numPr>
          <w:ilvl w:val="0"/>
          <w:numId w:val="29"/>
        </w:numPr>
        <w:shd w:val="clear" w:color="auto" w:fill="DEEAF6" w:themeFill="accent5" w:themeFillTint="33"/>
        <w:ind w:left="851" w:hanging="425"/>
      </w:pPr>
      <w:r w:rsidRPr="00934241">
        <w:t>reorient Community Correction Orders through legislative amendments and operational changes to enable a therapeutic focus; and</w:t>
      </w:r>
    </w:p>
    <w:p w14:paraId="1146F942" w14:textId="77777777" w:rsidR="0058172F" w:rsidRPr="00E350A3" w:rsidRDefault="0058172F" w:rsidP="00984FB7">
      <w:pPr>
        <w:pStyle w:val="ListParagraph"/>
        <w:numPr>
          <w:ilvl w:val="0"/>
          <w:numId w:val="29"/>
        </w:numPr>
        <w:shd w:val="clear" w:color="auto" w:fill="DEEAF6" w:themeFill="accent5" w:themeFillTint="33"/>
        <w:ind w:left="851" w:hanging="425"/>
      </w:pPr>
      <w:r w:rsidRPr="00934241">
        <w:t>resource direct access to relevant services while subject to treatment conditions under a CCO.</w:t>
      </w:r>
    </w:p>
    <w:p w14:paraId="6AD52421" w14:textId="7DF0E542" w:rsidR="0058172F" w:rsidRPr="001028B6" w:rsidRDefault="00934241" w:rsidP="00E350A3">
      <w:pPr>
        <w:shd w:val="clear" w:color="auto" w:fill="DEEAF6" w:themeFill="accent5" w:themeFillTint="33"/>
        <w:ind w:left="426"/>
      </w:pPr>
      <w:r w:rsidRPr="00B9060C">
        <w:rPr>
          <w:b/>
          <w:bCs/>
        </w:rPr>
        <w:t xml:space="preserve">Recommendation </w:t>
      </w:r>
      <w:r>
        <w:rPr>
          <w:b/>
          <w:bCs/>
        </w:rPr>
        <w:t xml:space="preserve">55: </w:t>
      </w:r>
      <w:r w:rsidR="0058172F" w:rsidRPr="00934241">
        <w:rPr>
          <w:b/>
          <w:bCs/>
        </w:rPr>
        <w:t>Expand secure forensic mental health facilities</w:t>
      </w:r>
    </w:p>
    <w:p w14:paraId="0DD7E6F3" w14:textId="77777777" w:rsidR="0058172F" w:rsidRPr="00934241" w:rsidRDefault="0058172F" w:rsidP="00E350A3">
      <w:pPr>
        <w:shd w:val="clear" w:color="auto" w:fill="DEEAF6" w:themeFill="accent5" w:themeFillTint="33"/>
        <w:ind w:left="426"/>
      </w:pPr>
      <w:r w:rsidRPr="00934241">
        <w:t xml:space="preserve">The Victorian Government should resource a </w:t>
      </w:r>
      <w:proofErr w:type="gramStart"/>
      <w:r w:rsidRPr="00934241">
        <w:t>sufficient number of</w:t>
      </w:r>
      <w:proofErr w:type="gramEnd"/>
      <w:r w:rsidRPr="00934241">
        <w:t xml:space="preserve"> secure forensic hospital beds in a designated mental health service (or services) for the compulsory treatment of prisoners where required.</w:t>
      </w:r>
    </w:p>
    <w:p w14:paraId="2EC3AD8E" w14:textId="59693C5B" w:rsidR="0058172F" w:rsidRPr="00E350A3" w:rsidRDefault="00E941A9" w:rsidP="00E350A3">
      <w:pPr>
        <w:shd w:val="clear" w:color="auto" w:fill="DEEAF6" w:themeFill="accent5" w:themeFillTint="33"/>
        <w:ind w:left="426"/>
      </w:pPr>
      <w:r w:rsidRPr="00E350A3">
        <w:t>See also recommendation 41: Youth forensic mental health response.</w:t>
      </w:r>
    </w:p>
    <w:p w14:paraId="23E5D9AF" w14:textId="106EF328" w:rsidR="0058172F" w:rsidRPr="001028B6" w:rsidRDefault="00934241" w:rsidP="00E350A3">
      <w:pPr>
        <w:shd w:val="clear" w:color="auto" w:fill="DEEAF6" w:themeFill="accent5" w:themeFillTint="33"/>
        <w:ind w:left="426"/>
      </w:pPr>
      <w:r w:rsidRPr="00B9060C">
        <w:rPr>
          <w:b/>
          <w:bCs/>
        </w:rPr>
        <w:t xml:space="preserve">Recommendation </w:t>
      </w:r>
      <w:r>
        <w:rPr>
          <w:b/>
          <w:bCs/>
        </w:rPr>
        <w:t xml:space="preserve">56: </w:t>
      </w:r>
      <w:r w:rsidR="0058172F" w:rsidRPr="00934241">
        <w:rPr>
          <w:b/>
          <w:bCs/>
        </w:rPr>
        <w:t>Improve mental health assessment and treatment in custody</w:t>
      </w:r>
    </w:p>
    <w:p w14:paraId="43DCD1C9" w14:textId="77777777" w:rsidR="0058172F" w:rsidRPr="00934241" w:rsidRDefault="0058172F" w:rsidP="00E350A3">
      <w:pPr>
        <w:shd w:val="clear" w:color="auto" w:fill="DEEAF6" w:themeFill="accent5" w:themeFillTint="33"/>
        <w:ind w:left="426"/>
      </w:pPr>
      <w:r w:rsidRPr="00934241">
        <w:t xml:space="preserve">The Victorian Government should resource a </w:t>
      </w:r>
      <w:proofErr w:type="gramStart"/>
      <w:r w:rsidRPr="00934241">
        <w:t>sufficient number of</w:t>
      </w:r>
      <w:proofErr w:type="gramEnd"/>
      <w:r w:rsidRPr="00934241">
        <w:t xml:space="preserve"> specialist beds for voluntary mental health treatment while in custody.</w:t>
      </w:r>
    </w:p>
    <w:p w14:paraId="0968E33D" w14:textId="77777777" w:rsidR="0058172F" w:rsidRPr="00E350A3" w:rsidRDefault="0058172F" w:rsidP="00E350A3">
      <w:pPr>
        <w:shd w:val="clear" w:color="auto" w:fill="DEEAF6" w:themeFill="accent5" w:themeFillTint="33"/>
        <w:ind w:left="426"/>
      </w:pPr>
      <w:r w:rsidRPr="00934241">
        <w:t>Corrections Victoria should improve access to voluntary assessment, treatment and therapeutic supports in custody.</w:t>
      </w:r>
    </w:p>
    <w:p w14:paraId="17E25F1F" w14:textId="7F1B5EF8" w:rsidR="0058172F" w:rsidRPr="001028B6" w:rsidRDefault="00934241" w:rsidP="00E350A3">
      <w:pPr>
        <w:shd w:val="clear" w:color="auto" w:fill="DEEAF6" w:themeFill="accent5" w:themeFillTint="33"/>
        <w:ind w:left="426"/>
      </w:pPr>
      <w:r w:rsidRPr="00B9060C">
        <w:rPr>
          <w:b/>
          <w:bCs/>
        </w:rPr>
        <w:t xml:space="preserve">Recommendation </w:t>
      </w:r>
      <w:r>
        <w:rPr>
          <w:b/>
          <w:bCs/>
        </w:rPr>
        <w:t xml:space="preserve">57: </w:t>
      </w:r>
      <w:r w:rsidR="0058172F" w:rsidRPr="00934241">
        <w:rPr>
          <w:b/>
          <w:bCs/>
        </w:rPr>
        <w:t>Improve transition planning and exit support</w:t>
      </w:r>
    </w:p>
    <w:p w14:paraId="6267F86F" w14:textId="77777777" w:rsidR="0058172F" w:rsidRPr="00934241" w:rsidRDefault="0058172F" w:rsidP="00E350A3">
      <w:pPr>
        <w:shd w:val="clear" w:color="auto" w:fill="DEEAF6" w:themeFill="accent5" w:themeFillTint="33"/>
        <w:ind w:left="426"/>
      </w:pPr>
      <w:r w:rsidRPr="00934241">
        <w:t>The Victorian Government should:</w:t>
      </w:r>
    </w:p>
    <w:p w14:paraId="0993F032" w14:textId="353D4D52" w:rsidR="00934241" w:rsidRPr="00934241" w:rsidRDefault="0058172F" w:rsidP="00984FB7">
      <w:pPr>
        <w:pStyle w:val="ListParagraph"/>
        <w:numPr>
          <w:ilvl w:val="0"/>
          <w:numId w:val="30"/>
        </w:numPr>
        <w:shd w:val="clear" w:color="auto" w:fill="DEEAF6" w:themeFill="accent5" w:themeFillTint="33"/>
        <w:ind w:left="851" w:hanging="425"/>
      </w:pPr>
      <w:r w:rsidRPr="00934241">
        <w:t>resource practical transition support for people exiting custody;</w:t>
      </w:r>
    </w:p>
    <w:p w14:paraId="22E2B92B" w14:textId="0BCC099A" w:rsidR="00934241" w:rsidRPr="00934241" w:rsidRDefault="0058172F" w:rsidP="00984FB7">
      <w:pPr>
        <w:pStyle w:val="ListParagraph"/>
        <w:numPr>
          <w:ilvl w:val="0"/>
          <w:numId w:val="30"/>
        </w:numPr>
        <w:shd w:val="clear" w:color="auto" w:fill="DEEAF6" w:themeFill="accent5" w:themeFillTint="33"/>
        <w:ind w:left="851" w:hanging="425"/>
      </w:pPr>
      <w:r w:rsidRPr="00934241">
        <w:t>improve access to supervision or parole upon release; and</w:t>
      </w:r>
    </w:p>
    <w:p w14:paraId="4DD32BF3" w14:textId="77777777" w:rsidR="0058172F" w:rsidRPr="00E350A3" w:rsidRDefault="0058172F" w:rsidP="00984FB7">
      <w:pPr>
        <w:pStyle w:val="ListParagraph"/>
        <w:numPr>
          <w:ilvl w:val="0"/>
          <w:numId w:val="30"/>
        </w:numPr>
        <w:shd w:val="clear" w:color="auto" w:fill="DEEAF6" w:themeFill="accent5" w:themeFillTint="33"/>
        <w:ind w:left="851" w:hanging="425"/>
      </w:pPr>
      <w:r w:rsidRPr="00934241">
        <w:t>improve transition planning and continuity of care with post-release supports.</w:t>
      </w:r>
    </w:p>
    <w:p w14:paraId="3DCF3C94" w14:textId="77777777" w:rsidR="00B6170D" w:rsidRPr="004F028F" w:rsidRDefault="00B6170D" w:rsidP="00E350A3">
      <w:pPr>
        <w:ind w:left="426"/>
        <w:textAlignment w:val="center"/>
        <w:rPr>
          <w:lang w:eastAsia="en-AU"/>
        </w:rPr>
      </w:pPr>
    </w:p>
    <w:sectPr w:rsidR="00B6170D" w:rsidRPr="004F028F" w:rsidSect="00AB001E">
      <w:headerReference w:type="even" r:id="rId22"/>
      <w:footerReference w:type="first" r:id="rId23"/>
      <w:pgSz w:w="11906" w:h="16838" w:code="9"/>
      <w:pgMar w:top="851" w:right="1021" w:bottom="851" w:left="1021"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6CA9C" w14:textId="77777777" w:rsidR="00D13461" w:rsidRDefault="00D13461">
      <w:r>
        <w:separator/>
      </w:r>
    </w:p>
    <w:p w14:paraId="33D77B8B" w14:textId="77777777" w:rsidR="00D13461" w:rsidRDefault="00D13461"/>
    <w:p w14:paraId="6CAB582A" w14:textId="77777777" w:rsidR="00D13461" w:rsidRDefault="00D13461"/>
  </w:endnote>
  <w:endnote w:type="continuationSeparator" w:id="0">
    <w:p w14:paraId="4478C904" w14:textId="77777777" w:rsidR="00D13461" w:rsidRDefault="00D13461">
      <w:r>
        <w:continuationSeparator/>
      </w:r>
    </w:p>
    <w:p w14:paraId="68C48028" w14:textId="77777777" w:rsidR="00D13461" w:rsidRDefault="00D13461"/>
    <w:p w14:paraId="55757956" w14:textId="77777777" w:rsidR="00D13461" w:rsidRDefault="00D13461"/>
  </w:endnote>
  <w:endnote w:type="continuationNotice" w:id="1">
    <w:p w14:paraId="641C125B" w14:textId="77777777" w:rsidR="00D13461" w:rsidRDefault="00D13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CF1C" w14:textId="77777777" w:rsidR="00D80102" w:rsidRDefault="00D80102"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A343" w14:textId="0EBC0CB6" w:rsidR="00D80102" w:rsidRDefault="00D80102" w:rsidP="003E2148">
    <w:pPr>
      <w:pStyle w:val="Filename"/>
      <w:tabs>
        <w:tab w:val="clear" w:pos="9240"/>
        <w:tab w:val="left" w:pos="1985"/>
        <w:tab w:val="left" w:pos="7230"/>
      </w:tabs>
    </w:pPr>
    <w:r w:rsidRPr="00937DBF">
      <w:rPr>
        <w:b/>
        <w:bCs/>
        <w:color w:val="216E96"/>
      </w:rPr>
      <w:t>Victoria Legal Aid</w:t>
    </w:r>
    <w:r>
      <w:tab/>
    </w:r>
    <w:r w:rsidRPr="009158B3">
      <w:t>Paving the roads to recovery</w:t>
    </w:r>
    <w:r w:rsidRPr="009158B3" w:rsidDel="009158B3">
      <w:t xml:space="preserve"> </w:t>
    </w:r>
    <w:r>
      <w:t>– 29 May 2020</w:t>
    </w:r>
    <w:r w:rsidDel="00A67B97">
      <w:t xml:space="preserve"> </w:t>
    </w:r>
  </w:p>
  <w:p w14:paraId="65F525AB" w14:textId="77777777" w:rsidR="00D80102" w:rsidRPr="002B4970" w:rsidRDefault="00D80102" w:rsidP="00161EEF">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C8E9" w14:textId="42EC90B5" w:rsidR="00D80102" w:rsidRDefault="00D80102" w:rsidP="0040537D">
    <w:pPr>
      <w:pStyle w:val="Filename"/>
      <w:tabs>
        <w:tab w:val="clear" w:pos="9240"/>
        <w:tab w:val="left" w:pos="1985"/>
      </w:tabs>
    </w:pPr>
    <w:r w:rsidRPr="00937DBF">
      <w:rPr>
        <w:b/>
        <w:bCs/>
        <w:color w:val="216E96"/>
      </w:rPr>
      <w:t>Victoria Legal Aid</w:t>
    </w:r>
    <w:r>
      <w:tab/>
    </w:r>
    <w:r w:rsidRPr="009158B3">
      <w:t>Paving the roads to recovery</w:t>
    </w:r>
    <w:r w:rsidRPr="009158B3" w:rsidDel="009158B3">
      <w:t xml:space="preserve"> </w:t>
    </w:r>
    <w:r>
      <w:t>– 29 May 2020</w:t>
    </w:r>
  </w:p>
  <w:p w14:paraId="006C7D7F" w14:textId="77777777" w:rsidR="00D80102" w:rsidRPr="0040537D" w:rsidRDefault="00D80102" w:rsidP="0040537D">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88E8" w14:textId="08785775" w:rsidR="00D80102" w:rsidRDefault="00D80102" w:rsidP="00937DBF">
    <w:pPr>
      <w:pStyle w:val="Filename"/>
      <w:tabs>
        <w:tab w:val="clear" w:pos="9240"/>
        <w:tab w:val="left" w:pos="1985"/>
      </w:tabs>
    </w:pPr>
    <w:r w:rsidRPr="00937DBF">
      <w:rPr>
        <w:b/>
        <w:bCs/>
        <w:color w:val="216E96"/>
      </w:rPr>
      <w:t>Victoria Legal Aid</w:t>
    </w:r>
    <w:r>
      <w:tab/>
    </w:r>
    <w:r w:rsidRPr="009158B3">
      <w:t>Paving the roads to recovery</w:t>
    </w:r>
    <w:r w:rsidRPr="009158B3" w:rsidDel="009158B3">
      <w:t xml:space="preserve"> </w:t>
    </w:r>
    <w:r>
      <w:t>– 29 May 2020</w:t>
    </w:r>
    <w:r w:rsidDel="00A67B97">
      <w:t xml:space="preserve"> </w:t>
    </w:r>
  </w:p>
  <w:p w14:paraId="347210D6" w14:textId="77777777" w:rsidR="00D80102" w:rsidRPr="002B4970" w:rsidRDefault="00D80102" w:rsidP="00161EEF">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C2E69" w14:textId="77777777" w:rsidR="00D13461" w:rsidRPr="00E9228F" w:rsidRDefault="00D13461" w:rsidP="00E9228F">
      <w:pPr>
        <w:rPr>
          <w:sz w:val="18"/>
          <w:szCs w:val="18"/>
        </w:rPr>
      </w:pPr>
      <w:r w:rsidRPr="006831FC">
        <w:rPr>
          <w:sz w:val="18"/>
        </w:rPr>
        <w:separator/>
      </w:r>
    </w:p>
  </w:footnote>
  <w:footnote w:type="continuationSeparator" w:id="0">
    <w:p w14:paraId="32A905E2" w14:textId="77777777" w:rsidR="00D13461" w:rsidRDefault="00D13461">
      <w:r>
        <w:continuationSeparator/>
      </w:r>
    </w:p>
    <w:p w14:paraId="19536BB9" w14:textId="77777777" w:rsidR="00D13461" w:rsidRDefault="00D13461"/>
    <w:p w14:paraId="305849A9" w14:textId="77777777" w:rsidR="00D13461" w:rsidRDefault="00D13461"/>
  </w:footnote>
  <w:footnote w:type="continuationNotice" w:id="1">
    <w:p w14:paraId="3C2C013B" w14:textId="77777777" w:rsidR="00D13461" w:rsidRDefault="00D13461">
      <w:pPr>
        <w:spacing w:after="0" w:line="240" w:lineRule="auto"/>
      </w:pPr>
    </w:p>
  </w:footnote>
  <w:footnote w:id="2">
    <w:p w14:paraId="0D305817" w14:textId="05334A1F" w:rsidR="00D80102" w:rsidRPr="00AF1182" w:rsidRDefault="00D80102" w:rsidP="00A06CA1">
      <w:pPr>
        <w:pStyle w:val="FootnoteText"/>
      </w:pPr>
      <w:r w:rsidRPr="00AF1182">
        <w:rPr>
          <w:rStyle w:val="FootnoteReference"/>
          <w:sz w:val="16"/>
        </w:rPr>
        <w:footnoteRef/>
      </w:r>
      <w:r w:rsidRPr="00AF1182">
        <w:t xml:space="preserve"> </w:t>
      </w:r>
      <w:r w:rsidRPr="00AF1182">
        <w:rPr>
          <w:lang w:val="en-US"/>
        </w:rPr>
        <w:t xml:space="preserve">Victoria Legal Aid, </w:t>
      </w:r>
      <w:r w:rsidRPr="002D5064">
        <w:rPr>
          <w:i/>
          <w:lang w:val="en-US"/>
        </w:rPr>
        <w:t xml:space="preserve">Submission to the Royal Commission into Victoria’s Mental Health System – Roads to Recovery: Building a Better System for Victorians Experiencing Mental Health Issues </w:t>
      </w:r>
      <w:r w:rsidRPr="00AF1182">
        <w:rPr>
          <w:lang w:val="en-US"/>
        </w:rPr>
        <w:t>(July 2019) (</w:t>
      </w:r>
      <w:r w:rsidRPr="00AF1182">
        <w:rPr>
          <w:b/>
          <w:lang w:val="en-US"/>
        </w:rPr>
        <w:t>Roads to Recovery</w:t>
      </w:r>
      <w:r w:rsidRPr="00AF1182">
        <w:rPr>
          <w:lang w:val="en-US"/>
        </w:rPr>
        <w:t xml:space="preserve">) </w:t>
      </w:r>
      <w:r>
        <w:rPr>
          <w:lang w:val="en-US"/>
        </w:rPr>
        <w:t xml:space="preserve">31 – 36. </w:t>
      </w:r>
      <w:r w:rsidRPr="00AF1182">
        <w:rPr>
          <w:lang w:val="en-US"/>
        </w:rPr>
        <w:t>&lt;</w:t>
      </w:r>
      <w:hyperlink r:id="rId1" w:history="1">
        <w:r w:rsidRPr="005430AA">
          <w:rPr>
            <w:rStyle w:val="Hyperlink"/>
            <w:lang w:val="en-US"/>
          </w:rPr>
          <w:t>www.legalaid.vic.gov.au/roadstorecovery</w:t>
        </w:r>
      </w:hyperlink>
      <w:r w:rsidRPr="00AF1182">
        <w:rPr>
          <w:lang w:val="en-US"/>
        </w:rPr>
        <w:t>&gt;.</w:t>
      </w:r>
    </w:p>
  </w:footnote>
  <w:footnote w:id="3">
    <w:p w14:paraId="14B72EC5" w14:textId="77777777" w:rsidR="00D80102" w:rsidRDefault="00D80102" w:rsidP="00705848">
      <w:pPr>
        <w:pStyle w:val="FootnoteText"/>
      </w:pPr>
      <w:r w:rsidRPr="007B68C3">
        <w:rPr>
          <w:rStyle w:val="FootnoteReference"/>
        </w:rPr>
        <w:footnoteRef/>
      </w:r>
      <w:r w:rsidRPr="007B68C3">
        <w:t xml:space="preserve"> We have provided recommendations of varying levels of specificity. For example, we outline detailed legislative amendments where this is a simple and appropriate way to address current problems (e.g. Bail Act reforms to mitigate the impact of reverse onus tests, or Mental Health Act reforms to clarify information-sharing to facilitate legal representation at hearings). We provide more general recommendations where there are a range of ways to potentially implement the measures (e.g. developing policies for family violence risk screening, capacity building for services). To assist the Royal Commission to place responsibility for implementing recommendations, we have suggested which bodies or agencies each recommendation relate to, but accept that depending on the Royal Commission’s recommendations, there may be other options for allocating responsibility for implementation.</w:t>
      </w:r>
    </w:p>
  </w:footnote>
  <w:footnote w:id="4">
    <w:p w14:paraId="49BA68A0" w14:textId="5BCB7F0D" w:rsidR="00D80102" w:rsidRPr="00AF1182" w:rsidRDefault="00D80102" w:rsidP="006759A6">
      <w:pPr>
        <w:pStyle w:val="FootnoteText"/>
      </w:pPr>
      <w:r w:rsidRPr="00AF1182">
        <w:rPr>
          <w:rStyle w:val="FootnoteReference"/>
          <w:sz w:val="16"/>
        </w:rPr>
        <w:footnoteRef/>
      </w:r>
      <w:r w:rsidRPr="00AF1182">
        <w:t xml:space="preserve"> </w:t>
      </w:r>
      <w:r>
        <w:t xml:space="preserve">Roads to Recovery (n 1) 24.  </w:t>
      </w:r>
    </w:p>
  </w:footnote>
  <w:footnote w:id="5">
    <w:p w14:paraId="0C7B3E16" w14:textId="4A1CD57E" w:rsidR="00D80102" w:rsidRPr="00AF1182" w:rsidRDefault="00D80102" w:rsidP="006759A6">
      <w:pPr>
        <w:pStyle w:val="FootnoteText"/>
      </w:pPr>
      <w:r w:rsidRPr="00AF1182">
        <w:rPr>
          <w:rStyle w:val="FootnoteReference"/>
          <w:sz w:val="16"/>
        </w:rPr>
        <w:footnoteRef/>
      </w:r>
      <w:r w:rsidRPr="00AF1182">
        <w:t xml:space="preserve"> </w:t>
      </w:r>
      <w:r>
        <w:t>Roads to Recovery (n 1)</w:t>
      </w:r>
      <w:r w:rsidRPr="00AF1182">
        <w:rPr>
          <w:lang w:val="en-US"/>
        </w:rPr>
        <w:t xml:space="preserve"> 24.</w:t>
      </w:r>
    </w:p>
  </w:footnote>
  <w:footnote w:id="6">
    <w:p w14:paraId="19599687" w14:textId="109B5F0A" w:rsidR="00D80102" w:rsidRPr="00AF1182" w:rsidRDefault="00D80102" w:rsidP="006759A6">
      <w:pPr>
        <w:pStyle w:val="FootnoteText"/>
      </w:pPr>
      <w:r w:rsidRPr="00AF1182">
        <w:rPr>
          <w:rStyle w:val="FootnoteReference"/>
          <w:sz w:val="16"/>
        </w:rPr>
        <w:footnoteRef/>
      </w:r>
      <w:r w:rsidRPr="00AF1182">
        <w:t xml:space="preserve"> Royal Commission into Victoria’s Mental Health System, </w:t>
      </w:r>
      <w:r w:rsidRPr="00AF1182">
        <w:rPr>
          <w:i/>
        </w:rPr>
        <w:t>Interim Report</w:t>
      </w:r>
      <w:r w:rsidRPr="00AF1182">
        <w:t xml:space="preserve"> (November 2019) (</w:t>
      </w:r>
      <w:r w:rsidRPr="00AF1182">
        <w:rPr>
          <w:b/>
        </w:rPr>
        <w:t xml:space="preserve">Royal Commission </w:t>
      </w:r>
      <w:r>
        <w:rPr>
          <w:b/>
        </w:rPr>
        <w:t>I</w:t>
      </w:r>
      <w:r w:rsidRPr="00AF1182">
        <w:rPr>
          <w:b/>
        </w:rPr>
        <w:t xml:space="preserve">nterim </w:t>
      </w:r>
      <w:r>
        <w:rPr>
          <w:b/>
        </w:rPr>
        <w:t>R</w:t>
      </w:r>
      <w:r w:rsidRPr="00AF1182">
        <w:rPr>
          <w:b/>
        </w:rPr>
        <w:t>eport</w:t>
      </w:r>
      <w:r w:rsidRPr="00AF1182">
        <w:t>)</w:t>
      </w:r>
      <w:r>
        <w:t xml:space="preserve"> 423, 435</w:t>
      </w:r>
      <w:r w:rsidRPr="00AF1182">
        <w:t>.</w:t>
      </w:r>
    </w:p>
  </w:footnote>
  <w:footnote w:id="7">
    <w:p w14:paraId="746464FF" w14:textId="2D2B07FB" w:rsidR="00D80102" w:rsidRDefault="00D80102">
      <w:pPr>
        <w:pStyle w:val="FootnoteText"/>
      </w:pPr>
      <w:r>
        <w:rPr>
          <w:rStyle w:val="FootnoteReference"/>
        </w:rPr>
        <w:footnoteRef/>
      </w:r>
      <w:r>
        <w:t xml:space="preserve"> We use ‘co-production’ to mean an approach that sees consumers involved in, or leading, defining the problem, designing and delivering the solution and evaluation the outcome, either in partnership with others or independently. Wherever possible, services and policies should be co-produced. Where co-production is not suitable or available, the highest level of consumer participation should be sought. See: </w:t>
      </w:r>
      <w:r w:rsidRPr="001833BF">
        <w:t xml:space="preserve">Cath Roper, Flick Grey and Emma Cadogan, </w:t>
      </w:r>
      <w:r w:rsidRPr="00651DD8">
        <w:rPr>
          <w:i/>
          <w:iCs/>
        </w:rPr>
        <w:t xml:space="preserve">Co-production: Putting principles into practice in mental health contexts </w:t>
      </w:r>
      <w:r w:rsidRPr="001833BF">
        <w:t>(</w:t>
      </w:r>
      <w:r w:rsidRPr="000822A3">
        <w:t xml:space="preserve">February </w:t>
      </w:r>
      <w:r w:rsidRPr="001833BF">
        <w:t>2018) &lt;</w:t>
      </w:r>
      <w:hyperlink r:id="rId2" w:history="1">
        <w:r w:rsidRPr="00195590">
          <w:rPr>
            <w:rStyle w:val="Hyperlink"/>
          </w:rPr>
          <w:t>https://recoverylibrary.unimelb.edu.au/__data/assets/pdf_file/0010/2659969/Coproduction_putting-principles-into-pra</w:t>
        </w:r>
        <w:r w:rsidRPr="005B1D3D">
          <w:rPr>
            <w:rStyle w:val="Hyperlink"/>
          </w:rPr>
          <w:t>ctice.pdf</w:t>
        </w:r>
      </w:hyperlink>
      <w:r>
        <w:t>&gt;</w:t>
      </w:r>
    </w:p>
  </w:footnote>
  <w:footnote w:id="8">
    <w:p w14:paraId="187F3566" w14:textId="6F0CC2E0" w:rsidR="00D80102" w:rsidRPr="00AF1182" w:rsidRDefault="00D80102" w:rsidP="006759A6">
      <w:pPr>
        <w:pStyle w:val="FootnoteText"/>
        <w:rPr>
          <w:lang w:val="en-US"/>
        </w:rPr>
      </w:pPr>
      <w:r w:rsidRPr="00AF1182">
        <w:rPr>
          <w:rStyle w:val="FootnoteReference"/>
          <w:sz w:val="16"/>
        </w:rPr>
        <w:footnoteRef/>
      </w:r>
      <w:r w:rsidRPr="00AF1182">
        <w:t xml:space="preserve"> </w:t>
      </w:r>
      <w:r w:rsidRPr="00AF1182">
        <w:rPr>
          <w:lang w:val="en-US"/>
        </w:rPr>
        <w:t xml:space="preserve">IMHA was also awarded the Lived Experience Leadership award at the 2019 Mental Health Service Awards of Australia and New Zealand. See further: </w:t>
      </w:r>
      <w:hyperlink r:id="rId3" w:history="1">
        <w:r w:rsidRPr="00AF1182">
          <w:rPr>
            <w:rStyle w:val="Hyperlink"/>
          </w:rPr>
          <w:t>https://www.imha.vic.gov.au/about-us/news/imha-wins-top-award-for-leadership-in-mental-health</w:t>
        </w:r>
      </w:hyperlink>
      <w:r w:rsidRPr="00AF1182">
        <w:t>.</w:t>
      </w:r>
      <w:r w:rsidRPr="00AF1182">
        <w:rPr>
          <w:rStyle w:val="Hyperlink"/>
          <w:color w:val="auto"/>
        </w:rPr>
        <w:t xml:space="preserve"> </w:t>
      </w:r>
    </w:p>
  </w:footnote>
  <w:footnote w:id="9">
    <w:p w14:paraId="7A26632C" w14:textId="27506DEC" w:rsidR="00D80102" w:rsidRPr="00AF1182" w:rsidRDefault="00D80102" w:rsidP="006759A6">
      <w:pPr>
        <w:pStyle w:val="FootnoteText"/>
      </w:pPr>
      <w:r w:rsidRPr="00AF1182">
        <w:rPr>
          <w:rStyle w:val="FootnoteReference"/>
          <w:sz w:val="16"/>
        </w:rPr>
        <w:footnoteRef/>
      </w:r>
      <w:r w:rsidRPr="00AF1182">
        <w:t xml:space="preserve"> </w:t>
      </w:r>
      <w:r w:rsidRPr="00AF1182">
        <w:rPr>
          <w:shd w:val="clear" w:color="auto" w:fill="FFFFFF"/>
        </w:rPr>
        <w:t xml:space="preserve">IFAS was established as a pilot in 2018 to assist families who are involved in the child protection system before they go to court with non-legal support and advocacy to understand their rights and responsibilities. The pilot services prioritising Aboriginal and Torres Strait Islander families and parents with intellectual disabilities. </w:t>
      </w:r>
      <w:r w:rsidRPr="00AF1182">
        <w:t>IFAS is being independently evaluated, with the mid-term evaluation currently in progress.</w:t>
      </w:r>
    </w:p>
  </w:footnote>
  <w:footnote w:id="10">
    <w:p w14:paraId="68F592D7" w14:textId="579D07FB" w:rsidR="00D80102" w:rsidRPr="00AF1182" w:rsidRDefault="00D80102" w:rsidP="006759A6">
      <w:pPr>
        <w:pStyle w:val="FootnoteText"/>
        <w:rPr>
          <w:lang w:val="en-US"/>
        </w:rPr>
      </w:pPr>
      <w:r w:rsidRPr="00AF1182">
        <w:rPr>
          <w:rStyle w:val="FootnoteReference"/>
          <w:sz w:val="16"/>
        </w:rPr>
        <w:footnoteRef/>
      </w:r>
      <w:r w:rsidRPr="00AF1182">
        <w:t xml:space="preserve"> </w:t>
      </w:r>
      <w:r w:rsidRPr="00AF1182">
        <w:rPr>
          <w:lang w:val="en-US"/>
        </w:rPr>
        <w:t xml:space="preserve">Our Client First Strategy outlines how Victoria Legal Aid will create and nurture a client-first work culture, support clients to participate in the decisions that affect them, strengthen and better connect entry points to improve navigation of, and access to, our systems, and reimagine our service models to promote holistic approaches and stronger partnerships. See further: </w:t>
      </w:r>
      <w:hyperlink r:id="rId4" w:history="1">
        <w:r w:rsidRPr="00AF1182">
          <w:rPr>
            <w:rStyle w:val="Hyperlink"/>
          </w:rPr>
          <w:t>https://www.legalaid.vic.gov.au/about-us/our-organisation/how-we-are-improving-our-services/client-first-strategy</w:t>
        </w:r>
      </w:hyperlink>
      <w:r w:rsidRPr="00AF1182">
        <w:rPr>
          <w:rStyle w:val="Hyperlink"/>
        </w:rPr>
        <w:t>.</w:t>
      </w:r>
    </w:p>
  </w:footnote>
  <w:footnote w:id="11">
    <w:p w14:paraId="4D8732A3" w14:textId="383F815B" w:rsidR="00D80102" w:rsidRPr="00AF1182" w:rsidRDefault="00D80102" w:rsidP="006759A6">
      <w:pPr>
        <w:pStyle w:val="FootnoteText"/>
      </w:pPr>
      <w:r w:rsidRPr="00AF1182">
        <w:rPr>
          <w:rStyle w:val="FootnoteReference"/>
          <w:sz w:val="16"/>
        </w:rPr>
        <w:footnoteRef/>
      </w:r>
      <w:r w:rsidRPr="00AF1182">
        <w:t xml:space="preserve"> See also: </w:t>
      </w:r>
      <w:r>
        <w:rPr>
          <w:rFonts w:eastAsia="Arial"/>
        </w:rPr>
        <w:t>Stephanie Stewart et al, ‘“</w:t>
      </w:r>
      <w:r w:rsidRPr="00AF1182">
        <w:rPr>
          <w:rFonts w:eastAsia="Arial"/>
        </w:rPr>
        <w:t>It depends what you mean by leadership</w:t>
      </w:r>
      <w:r>
        <w:rPr>
          <w:rFonts w:eastAsia="Arial"/>
        </w:rPr>
        <w:t>”</w:t>
      </w:r>
      <w:r w:rsidRPr="00AF1182">
        <w:rPr>
          <w:rFonts w:eastAsia="Arial"/>
        </w:rPr>
        <w:t>: An analysis of stakeholder perspectives on consumer leadership</w:t>
      </w:r>
      <w:r>
        <w:rPr>
          <w:rFonts w:eastAsia="Arial"/>
        </w:rPr>
        <w:t>’ (2019) 28(1)</w:t>
      </w:r>
      <w:r w:rsidRPr="00AF1182">
        <w:rPr>
          <w:rFonts w:eastAsia="Arial"/>
        </w:rPr>
        <w:t xml:space="preserve"> </w:t>
      </w:r>
      <w:r w:rsidRPr="00AF1182">
        <w:rPr>
          <w:rFonts w:eastAsia="Arial"/>
          <w:i/>
        </w:rPr>
        <w:t xml:space="preserve">International </w:t>
      </w:r>
      <w:r>
        <w:rPr>
          <w:rFonts w:eastAsia="Arial"/>
          <w:i/>
        </w:rPr>
        <w:t>J</w:t>
      </w:r>
      <w:r w:rsidRPr="00AF1182">
        <w:rPr>
          <w:rFonts w:eastAsia="Arial"/>
          <w:i/>
        </w:rPr>
        <w:t xml:space="preserve">ournal of </w:t>
      </w:r>
      <w:r>
        <w:rPr>
          <w:rFonts w:eastAsia="Arial"/>
          <w:i/>
        </w:rPr>
        <w:t>M</w:t>
      </w:r>
      <w:r w:rsidRPr="00AF1182">
        <w:rPr>
          <w:rFonts w:eastAsia="Arial"/>
          <w:i/>
        </w:rPr>
        <w:t xml:space="preserve">ental </w:t>
      </w:r>
      <w:r>
        <w:rPr>
          <w:rFonts w:eastAsia="Arial"/>
          <w:i/>
        </w:rPr>
        <w:t>H</w:t>
      </w:r>
      <w:r w:rsidRPr="00AF1182">
        <w:rPr>
          <w:rFonts w:eastAsia="Arial"/>
          <w:i/>
        </w:rPr>
        <w:t xml:space="preserve">ealth </w:t>
      </w:r>
      <w:r>
        <w:rPr>
          <w:rFonts w:eastAsia="Arial"/>
          <w:i/>
        </w:rPr>
        <w:t>N</w:t>
      </w:r>
      <w:r w:rsidRPr="00AF1182">
        <w:rPr>
          <w:rFonts w:eastAsia="Arial"/>
          <w:i/>
        </w:rPr>
        <w:t>ursing</w:t>
      </w:r>
      <w:r w:rsidRPr="00AF1182" w:rsidDel="00451A17">
        <w:rPr>
          <w:rFonts w:eastAsia="Arial"/>
        </w:rPr>
        <w:t xml:space="preserve"> </w:t>
      </w:r>
      <w:r w:rsidRPr="00AF1182">
        <w:rPr>
          <w:rFonts w:eastAsia="Arial"/>
        </w:rPr>
        <w:t>339</w:t>
      </w:r>
      <w:r>
        <w:rPr>
          <w:rFonts w:eastAsia="Arial"/>
        </w:rPr>
        <w:t>.</w:t>
      </w:r>
    </w:p>
  </w:footnote>
  <w:footnote w:id="12">
    <w:p w14:paraId="56AE76AC" w14:textId="1C1F6889" w:rsidR="00D80102" w:rsidRPr="00AF1182" w:rsidRDefault="00D80102" w:rsidP="006759A6">
      <w:pPr>
        <w:pStyle w:val="FootnoteText"/>
      </w:pPr>
      <w:r w:rsidRPr="00AF1182">
        <w:rPr>
          <w:rStyle w:val="FootnoteReference"/>
          <w:sz w:val="16"/>
        </w:rPr>
        <w:footnoteRef/>
      </w:r>
      <w:r w:rsidRPr="00AF1182">
        <w:t xml:space="preserve"> See: </w:t>
      </w:r>
      <w:r>
        <w:t xml:space="preserve">Brett </w:t>
      </w:r>
      <w:r w:rsidRPr="00AF1182">
        <w:rPr>
          <w:rFonts w:eastAsia="Arial"/>
        </w:rPr>
        <w:t>Scholz</w:t>
      </w:r>
      <w:r>
        <w:rPr>
          <w:rFonts w:eastAsia="Arial"/>
        </w:rPr>
        <w:t xml:space="preserve"> et al, ‘“</w:t>
      </w:r>
      <w:r w:rsidRPr="00AF1182">
        <w:rPr>
          <w:rFonts w:eastAsia="Arial"/>
        </w:rPr>
        <w:t>Not an afterthought”: Power imbalances in systemic partnerships between health service providers and consumers in a hospital setting</w:t>
      </w:r>
      <w:r>
        <w:rPr>
          <w:rFonts w:eastAsia="Arial"/>
        </w:rPr>
        <w:t>’ (2018) 122(8)</w:t>
      </w:r>
      <w:r w:rsidRPr="00AF1182">
        <w:rPr>
          <w:rFonts w:eastAsia="Arial"/>
        </w:rPr>
        <w:t xml:space="preserve"> </w:t>
      </w:r>
      <w:r w:rsidRPr="00AF1182">
        <w:rPr>
          <w:rFonts w:eastAsia="Arial"/>
          <w:i/>
        </w:rPr>
        <w:t>Health Policy</w:t>
      </w:r>
      <w:r w:rsidRPr="00AF1182">
        <w:rPr>
          <w:rFonts w:eastAsia="Arial"/>
        </w:rPr>
        <w:t xml:space="preserve"> 922.</w:t>
      </w:r>
    </w:p>
  </w:footnote>
  <w:footnote w:id="13">
    <w:p w14:paraId="7E0B8E0E" w14:textId="2F664A95" w:rsidR="00D80102" w:rsidRPr="00AF1182" w:rsidRDefault="00D80102" w:rsidP="006759A6">
      <w:pPr>
        <w:pStyle w:val="FootnoteText"/>
        <w:rPr>
          <w:lang w:val="en-US"/>
        </w:rPr>
      </w:pPr>
      <w:r w:rsidRPr="00AF1182">
        <w:rPr>
          <w:rStyle w:val="FootnoteReference"/>
          <w:sz w:val="16"/>
        </w:rPr>
        <w:footnoteRef/>
      </w:r>
      <w:r w:rsidRPr="00AF1182">
        <w:t xml:space="preserve"> </w:t>
      </w:r>
      <w:r w:rsidRPr="00AF1182">
        <w:rPr>
          <w:lang w:val="en-US"/>
        </w:rPr>
        <w:t>The Community Advisory Committee guidelines outline the place of these committees within a health services governance</w:t>
      </w:r>
      <w:r>
        <w:rPr>
          <w:lang w:val="en-US"/>
        </w:rPr>
        <w:t xml:space="preserve">. </w:t>
      </w:r>
      <w:r w:rsidRPr="00AF1182">
        <w:t xml:space="preserve">These committees are statutorily required under s 65ZA(1)(a) of the </w:t>
      </w:r>
      <w:r w:rsidRPr="00AF1182">
        <w:rPr>
          <w:i/>
        </w:rPr>
        <w:t>Health Services Act 1988</w:t>
      </w:r>
      <w:r w:rsidRPr="00AF1182">
        <w:t xml:space="preserve"> (Vic).</w:t>
      </w:r>
      <w:r>
        <w:t xml:space="preserve"> </w:t>
      </w:r>
      <w:r>
        <w:rPr>
          <w:lang w:val="en-US"/>
        </w:rPr>
        <w:t xml:space="preserve">Community Advisory Committee, </w:t>
      </w:r>
      <w:r>
        <w:rPr>
          <w:i/>
          <w:iCs/>
          <w:lang w:val="en-US"/>
        </w:rPr>
        <w:t xml:space="preserve">Community Advisory Committee Guidelines: Victorian Public Health Services </w:t>
      </w:r>
      <w:r>
        <w:rPr>
          <w:lang w:val="en-US"/>
        </w:rPr>
        <w:t>(May 2006)</w:t>
      </w:r>
      <w:r>
        <w:rPr>
          <w:i/>
          <w:iCs/>
          <w:lang w:val="en-US"/>
        </w:rPr>
        <w:t xml:space="preserve"> </w:t>
      </w:r>
      <w:r>
        <w:rPr>
          <w:lang w:val="en-US"/>
        </w:rPr>
        <w:t>&lt;</w:t>
      </w:r>
      <w:hyperlink r:id="rId5" w:history="1">
        <w:r w:rsidRPr="00992A53">
          <w:rPr>
            <w:rStyle w:val="Hyperlink"/>
          </w:rPr>
          <w:t>https://www2.health.vic.gov.au/about/publications/policiesandguidelines/Community-advisory-committee-guidelines%C2%A0</w:t>
        </w:r>
      </w:hyperlink>
      <w:r>
        <w:t>&gt;</w:t>
      </w:r>
      <w:r w:rsidRPr="00AF1182">
        <w:t>.</w:t>
      </w:r>
    </w:p>
  </w:footnote>
  <w:footnote w:id="14">
    <w:p w14:paraId="2A802A7C" w14:textId="3E17B47A" w:rsidR="00D80102" w:rsidRPr="00AF1182" w:rsidRDefault="00D80102" w:rsidP="006759A6">
      <w:pPr>
        <w:pStyle w:val="FootnoteText"/>
      </w:pPr>
      <w:r w:rsidRPr="00AF1182">
        <w:rPr>
          <w:rStyle w:val="FootnoteReference"/>
          <w:sz w:val="16"/>
        </w:rPr>
        <w:footnoteRef/>
      </w:r>
      <w:r w:rsidRPr="00AF1182">
        <w:t xml:space="preserve"> </w:t>
      </w:r>
      <w:r>
        <w:t>E</w:t>
      </w:r>
      <w:r w:rsidRPr="00AF1182">
        <w:t>.g</w:t>
      </w:r>
      <w:r>
        <w:t>.:</w:t>
      </w:r>
      <w:r w:rsidRPr="00AF1182">
        <w:t xml:space="preserve"> Chris Maylea</w:t>
      </w:r>
      <w:r>
        <w:t xml:space="preserve"> et al, </w:t>
      </w:r>
      <w:r w:rsidRPr="00AF1182">
        <w:rPr>
          <w:i/>
        </w:rPr>
        <w:t>Evaluation of the Independent Mental Health Advocacy Service (IMHA)</w:t>
      </w:r>
      <w:r w:rsidRPr="00AF1182">
        <w:t xml:space="preserve"> (Final Report, November 2018) (</w:t>
      </w:r>
      <w:r w:rsidRPr="00AF1182">
        <w:rPr>
          <w:b/>
        </w:rPr>
        <w:t>IMHA Evaluation Report</w:t>
      </w:r>
      <w:r w:rsidRPr="00AF1182">
        <w:t>) 35</w:t>
      </w:r>
      <w:r>
        <w:t>.</w:t>
      </w:r>
      <w:r w:rsidRPr="00AF1182">
        <w:t xml:space="preserve"> </w:t>
      </w:r>
    </w:p>
  </w:footnote>
  <w:footnote w:id="15">
    <w:p w14:paraId="68260681" w14:textId="261DAC5C" w:rsidR="00D80102" w:rsidRPr="00013C83" w:rsidRDefault="00D80102">
      <w:pPr>
        <w:pStyle w:val="FootnoteText"/>
      </w:pPr>
      <w:r>
        <w:rPr>
          <w:rStyle w:val="FootnoteReference"/>
        </w:rPr>
        <w:footnoteRef/>
      </w:r>
      <w:r>
        <w:t xml:space="preserve"> Lived Experience Workforce Strategies Stewardship Group, </w:t>
      </w:r>
      <w:r>
        <w:rPr>
          <w:i/>
          <w:iCs/>
        </w:rPr>
        <w:t>Strategy for the Consumer Mental Health Workforce in Victoria</w:t>
      </w:r>
      <w:r>
        <w:t xml:space="preserve"> (Report, June 2019) &lt;</w:t>
      </w:r>
      <w:hyperlink r:id="rId6" w:history="1">
        <w:r>
          <w:rPr>
            <w:rStyle w:val="Hyperlink"/>
          </w:rPr>
          <w:t>https://cmhl.org.au/sites/default/files/resources-pdfs/Consumer-Workforce-Strategy-web.pdf</w:t>
        </w:r>
      </w:hyperlink>
      <w:r>
        <w:t>&gt;</w:t>
      </w:r>
      <w:r w:rsidRPr="00651DD8">
        <w:t>.</w:t>
      </w:r>
    </w:p>
  </w:footnote>
  <w:footnote w:id="16">
    <w:p w14:paraId="6E303131" w14:textId="569D5F8B" w:rsidR="00D80102" w:rsidRPr="00AF1182" w:rsidRDefault="00D80102" w:rsidP="006759A6">
      <w:pPr>
        <w:pStyle w:val="FootnoteText"/>
      </w:pPr>
      <w:r w:rsidRPr="00AF1182">
        <w:rPr>
          <w:rStyle w:val="FootnoteReference"/>
          <w:sz w:val="16"/>
        </w:rPr>
        <w:footnoteRef/>
      </w:r>
      <w:r w:rsidRPr="00AF1182">
        <w:t xml:space="preserve"> Although IFA</w:t>
      </w:r>
      <w:r>
        <w:t>S</w:t>
      </w:r>
      <w:r w:rsidRPr="00AF1182">
        <w:t xml:space="preserve"> is not a service specifically for people with mental health issues, of the 99 clients to date, 54 </w:t>
      </w:r>
      <w:r w:rsidRPr="006759A6">
        <w:t>identified</w:t>
      </w:r>
      <w:r w:rsidRPr="00AF1182">
        <w:t xml:space="preserve"> </w:t>
      </w:r>
      <w:r>
        <w:t xml:space="preserve">experiencing </w:t>
      </w:r>
      <w:r w:rsidRPr="00AF1182">
        <w:t>mental health issues. IFAS is being evaluated, with the mid-term evaluation currently in progress.</w:t>
      </w:r>
      <w:r>
        <w:t xml:space="preserve"> See recommendation 63: </w:t>
      </w:r>
      <w:r w:rsidRPr="00506D02">
        <w:t>Supporting families to remain together</w:t>
      </w:r>
      <w:r>
        <w:t xml:space="preserve">. </w:t>
      </w:r>
    </w:p>
  </w:footnote>
  <w:footnote w:id="17">
    <w:p w14:paraId="3AFA44B5" w14:textId="77777777" w:rsidR="00D80102" w:rsidRPr="00AF1182" w:rsidRDefault="00D80102" w:rsidP="003D7A7E">
      <w:pPr>
        <w:pStyle w:val="FootnoteText"/>
      </w:pPr>
      <w:r w:rsidRPr="00AF1182">
        <w:rPr>
          <w:rStyle w:val="FootnoteReference"/>
          <w:sz w:val="16"/>
        </w:rPr>
        <w:footnoteRef/>
      </w:r>
      <w:r w:rsidRPr="00AF1182">
        <w:t xml:space="preserve"> We note the development of the Victim Survivor Advisory Council, to inform broader reforms arising from the Family Violence Royal Commission, but that these structures are not built into service delivery: </w:t>
      </w:r>
      <w:r>
        <w:t xml:space="preserve">Department of Health and Human Services, </w:t>
      </w:r>
      <w:r w:rsidRPr="00D73409">
        <w:rPr>
          <w:i/>
        </w:rPr>
        <w:t>Victim Survivor Advisory Council</w:t>
      </w:r>
      <w:r>
        <w:t xml:space="preserve"> (Web Page) &lt;</w:t>
      </w:r>
      <w:hyperlink r:id="rId7" w:history="1">
        <w:r w:rsidRPr="00003362">
          <w:rPr>
            <w:rStyle w:val="Hyperlink"/>
          </w:rPr>
          <w:t>https://www.vic.g</w:t>
        </w:r>
        <w:r w:rsidRPr="006A047F">
          <w:rPr>
            <w:rStyle w:val="Hyperlink"/>
          </w:rPr>
          <w:t>ov.au/victim-survivors-advisory-council</w:t>
        </w:r>
      </w:hyperlink>
      <w:r>
        <w:t xml:space="preserve">&gt;. </w:t>
      </w:r>
    </w:p>
  </w:footnote>
  <w:footnote w:id="18">
    <w:p w14:paraId="67EDD603" w14:textId="44E4B105" w:rsidR="00D80102" w:rsidRDefault="00D80102">
      <w:pPr>
        <w:pStyle w:val="FootnoteText"/>
      </w:pPr>
      <w:r>
        <w:rPr>
          <w:rStyle w:val="FootnoteReference"/>
        </w:rPr>
        <w:footnoteRef/>
      </w:r>
      <w:r>
        <w:t xml:space="preserve"> A similar advocacy model is used by IFAS when working with parents who have child protection involvement in their families. See recommendation 63: </w:t>
      </w:r>
      <w:r w:rsidRPr="009E646C">
        <w:t>Supporting</w:t>
      </w:r>
      <w:r>
        <w:t xml:space="preserve"> families to remain together.</w:t>
      </w:r>
    </w:p>
  </w:footnote>
  <w:footnote w:id="19">
    <w:p w14:paraId="2CC81FA5" w14:textId="1E45239F" w:rsidR="00D80102" w:rsidRPr="00AF1182" w:rsidRDefault="00D80102" w:rsidP="006759A6">
      <w:pPr>
        <w:pStyle w:val="FootnoteText"/>
      </w:pPr>
      <w:r w:rsidRPr="00AF1182">
        <w:rPr>
          <w:rStyle w:val="FootnoteReference"/>
          <w:sz w:val="16"/>
        </w:rPr>
        <w:footnoteRef/>
      </w:r>
      <w:r w:rsidRPr="00AF1182">
        <w:t xml:space="preserve"> </w:t>
      </w:r>
      <w:r w:rsidRPr="00651DD8">
        <w:rPr>
          <w:bCs/>
        </w:rPr>
        <w:t>IMHA Evaluation Report</w:t>
      </w:r>
      <w:r w:rsidRPr="00AF1182">
        <w:t xml:space="preserve"> </w:t>
      </w:r>
      <w:r>
        <w:t xml:space="preserve">(n 14) 7. </w:t>
      </w:r>
    </w:p>
  </w:footnote>
  <w:footnote w:id="20">
    <w:p w14:paraId="1472C939" w14:textId="7250DBE8" w:rsidR="00D80102" w:rsidRPr="00AF1182" w:rsidRDefault="00D80102" w:rsidP="006759A6">
      <w:pPr>
        <w:pStyle w:val="FootnoteText"/>
      </w:pPr>
      <w:r w:rsidRPr="00651DD8">
        <w:rPr>
          <w:rStyle w:val="FootnoteReference"/>
          <w:sz w:val="16"/>
        </w:rPr>
        <w:footnoteRef/>
      </w:r>
      <w:r w:rsidRPr="00056665">
        <w:t xml:space="preserve"> </w:t>
      </w:r>
      <w:r w:rsidRPr="00651DD8">
        <w:t xml:space="preserve">This recommendation is further supported by recommendation 19.  </w:t>
      </w:r>
    </w:p>
  </w:footnote>
  <w:footnote w:id="21">
    <w:p w14:paraId="79513E13" w14:textId="37EC4E4D" w:rsidR="00D80102" w:rsidRPr="00664701" w:rsidRDefault="00D80102">
      <w:pPr>
        <w:pStyle w:val="FootnoteText"/>
      </w:pPr>
      <w:r>
        <w:rPr>
          <w:rStyle w:val="FootnoteReference"/>
        </w:rPr>
        <w:footnoteRef/>
      </w:r>
      <w:r>
        <w:t xml:space="preserve"> We have used ‘compulsory treatment orders’ to refer to both Temporary Treatment Orders and Treatment Orders made under the </w:t>
      </w:r>
      <w:r>
        <w:rPr>
          <w:i/>
          <w:iCs/>
        </w:rPr>
        <w:t>Mental Health Act 2014</w:t>
      </w:r>
      <w:r>
        <w:t xml:space="preserve"> (Vic).</w:t>
      </w:r>
    </w:p>
  </w:footnote>
  <w:footnote w:id="22">
    <w:p w14:paraId="5A2A57EE" w14:textId="5CD9B3ED" w:rsidR="00D80102" w:rsidRPr="00AF1182" w:rsidRDefault="00D80102" w:rsidP="006759A6">
      <w:pPr>
        <w:pStyle w:val="FootnoteText"/>
      </w:pPr>
      <w:r w:rsidRPr="00AF1182">
        <w:rPr>
          <w:rStyle w:val="FootnoteReference"/>
          <w:sz w:val="16"/>
        </w:rPr>
        <w:footnoteRef/>
      </w:r>
      <w:r w:rsidRPr="00AF1182">
        <w:t xml:space="preserve"> Benefits of legal representation at the Mental Hea</w:t>
      </w:r>
      <w:r>
        <w:t>l</w:t>
      </w:r>
      <w:r w:rsidRPr="00AF1182">
        <w:t>th Tribunal is discussed further in</w:t>
      </w:r>
      <w:r>
        <w:t>:</w:t>
      </w:r>
      <w:r w:rsidRPr="00AF1182">
        <w:t xml:space="preserve"> Victoria Legal Aid, </w:t>
      </w:r>
      <w:r>
        <w:rPr>
          <w:i/>
        </w:rPr>
        <w:t xml:space="preserve">Answers </w:t>
      </w:r>
      <w:r w:rsidRPr="00AF1182">
        <w:rPr>
          <w:i/>
        </w:rPr>
        <w:t xml:space="preserve">to </w:t>
      </w:r>
      <w:r>
        <w:rPr>
          <w:i/>
        </w:rPr>
        <w:t>questions on notice from the</w:t>
      </w:r>
      <w:r w:rsidRPr="00AF1182">
        <w:rPr>
          <w:i/>
        </w:rPr>
        <w:t xml:space="preserve"> Productivity Commission </w:t>
      </w:r>
      <w:r>
        <w:rPr>
          <w:i/>
        </w:rPr>
        <w:t>inquiry into mental health</w:t>
      </w:r>
      <w:r w:rsidRPr="00AF1182">
        <w:rPr>
          <w:i/>
        </w:rPr>
        <w:t xml:space="preserve"> </w:t>
      </w:r>
      <w:r w:rsidRPr="00AF1182">
        <w:t xml:space="preserve"> (January 2020) </w:t>
      </w:r>
      <w:r>
        <w:t>(</w:t>
      </w:r>
      <w:r>
        <w:rPr>
          <w:b/>
          <w:bCs/>
        </w:rPr>
        <w:t xml:space="preserve">Answers to Questions on Notice) </w:t>
      </w:r>
      <w:r w:rsidRPr="00AF1182">
        <w:t xml:space="preserve">3 </w:t>
      </w:r>
      <w:r>
        <w:t>&lt;</w:t>
      </w:r>
      <w:hyperlink r:id="rId8" w:history="1">
        <w:r w:rsidRPr="00AF1182">
          <w:rPr>
            <w:rStyle w:val="Hyperlink"/>
            <w:rFonts w:eastAsiaTheme="majorEastAsia"/>
          </w:rPr>
          <w:t>https://www.legalaid.vic.gov.au/sites/www.legalaid.vic.gov.au/files/vla-answers-to-productivity-commission-questions-on-mental-health.docx</w:t>
        </w:r>
      </w:hyperlink>
      <w:r w:rsidRPr="00AF1182">
        <w:t>&gt;</w:t>
      </w:r>
      <w:r>
        <w:t xml:space="preserve">; </w:t>
      </w:r>
      <w:r w:rsidRPr="00AF1182">
        <w:t>Roads to Recovery</w:t>
      </w:r>
      <w:r>
        <w:t xml:space="preserve"> (n </w:t>
      </w:r>
      <w:r w:rsidRPr="00003362">
        <w:t>1</w:t>
      </w:r>
      <w:r w:rsidRPr="002E5B46">
        <w:t>)</w:t>
      </w:r>
      <w:r w:rsidRPr="00651DD8">
        <w:t xml:space="preserve"> 18 – 19. </w:t>
      </w:r>
    </w:p>
  </w:footnote>
  <w:footnote w:id="23">
    <w:p w14:paraId="6706BCC7" w14:textId="14E4296C" w:rsidR="00D80102" w:rsidRPr="00651DD8" w:rsidRDefault="00D80102">
      <w:pPr>
        <w:pStyle w:val="FootnoteText"/>
        <w:rPr>
          <w:i/>
          <w:iCs/>
        </w:rPr>
      </w:pPr>
      <w:r>
        <w:rPr>
          <w:rStyle w:val="FootnoteReference"/>
        </w:rPr>
        <w:footnoteRef/>
      </w:r>
      <w:r>
        <w:t xml:space="preserve"> </w:t>
      </w:r>
      <w:r w:rsidRPr="00126A79">
        <w:t xml:space="preserve">The difference in rates of legal representation before </w:t>
      </w:r>
      <w:r>
        <w:t xml:space="preserve">Australian </w:t>
      </w:r>
      <w:r w:rsidRPr="00126A79">
        <w:t xml:space="preserve">Mental Health Tribunals is further explored in Victoria Legal Aid, </w:t>
      </w:r>
      <w:r w:rsidRPr="00126A79">
        <w:rPr>
          <w:i/>
          <w:iCs/>
        </w:rPr>
        <w:t>Response to question on notice</w:t>
      </w:r>
      <w:r w:rsidRPr="00126A79">
        <w:rPr>
          <w:i/>
        </w:rPr>
        <w:t xml:space="preserve"> </w:t>
      </w:r>
      <w:r w:rsidRPr="00126A79">
        <w:rPr>
          <w:i/>
          <w:iCs/>
        </w:rPr>
        <w:t>to the Royal Commission into Victoria’s Mental Health System</w:t>
      </w:r>
      <w:r w:rsidRPr="00126A79">
        <w:t xml:space="preserve"> (July 2019) &lt;</w:t>
      </w:r>
      <w:hyperlink r:id="rId9" w:history="1">
        <w:r w:rsidRPr="00126A79">
          <w:rPr>
            <w:rStyle w:val="Hyperlink"/>
          </w:rPr>
          <w:t>https://www.legalaid.vic.gov.au/sites/www.legalaid.vic.gov.au/files/vla-letter-responding-to-question-on-notice-30-july-2019-redacted.pdf</w:t>
        </w:r>
      </w:hyperlink>
      <w:r w:rsidRPr="00126A79">
        <w:t>&gt;.</w:t>
      </w:r>
    </w:p>
  </w:footnote>
  <w:footnote w:id="24">
    <w:p w14:paraId="57150275" w14:textId="0B39D3EA" w:rsidR="00D80102" w:rsidRDefault="00D80102">
      <w:pPr>
        <w:pStyle w:val="FootnoteText"/>
      </w:pPr>
      <w:r>
        <w:rPr>
          <w:rStyle w:val="FootnoteReference"/>
        </w:rPr>
        <w:footnoteRef/>
      </w:r>
      <w:r>
        <w:t xml:space="preserve"> </w:t>
      </w:r>
      <w:r w:rsidRPr="00126A79">
        <w:t xml:space="preserve">The difference in rates of legal representation before Mental Health Tribunals in Victoria and New South Wales is further explored in Victoria Legal Aid, </w:t>
      </w:r>
      <w:r w:rsidRPr="00126A79">
        <w:rPr>
          <w:i/>
          <w:iCs/>
        </w:rPr>
        <w:t>Response to question on notice</w:t>
      </w:r>
      <w:r w:rsidRPr="00126A79">
        <w:rPr>
          <w:i/>
        </w:rPr>
        <w:t xml:space="preserve"> </w:t>
      </w:r>
      <w:r w:rsidRPr="00126A79">
        <w:rPr>
          <w:i/>
          <w:iCs/>
        </w:rPr>
        <w:t>to the Royal Commission into Victoria’s Mental Health System</w:t>
      </w:r>
      <w:r w:rsidRPr="00126A79">
        <w:t xml:space="preserve"> (July 2019) &lt;</w:t>
      </w:r>
      <w:hyperlink r:id="rId10" w:history="1">
        <w:r w:rsidRPr="00126A79">
          <w:rPr>
            <w:rStyle w:val="Hyperlink"/>
          </w:rPr>
          <w:t>https://www.legalaid.vic.gov.au/sites/www.legalaid.vic.gov.au/files/vla-letter-responding-to-question-on-notice-30-july-2019-redacted.pdf</w:t>
        </w:r>
      </w:hyperlink>
      <w:r w:rsidRPr="00126A79">
        <w:t>&gt;.</w:t>
      </w:r>
    </w:p>
  </w:footnote>
  <w:footnote w:id="25">
    <w:p w14:paraId="095B7F5F" w14:textId="194AD626" w:rsidR="00D80102" w:rsidRDefault="00D80102">
      <w:pPr>
        <w:pStyle w:val="FootnoteText"/>
      </w:pPr>
      <w:r w:rsidRPr="00AF1182">
        <w:rPr>
          <w:rStyle w:val="FootnoteReference"/>
          <w:sz w:val="16"/>
        </w:rPr>
        <w:footnoteRef/>
      </w:r>
      <w:r w:rsidRPr="00D4024B">
        <w:t xml:space="preserve"> </w:t>
      </w:r>
      <w:r w:rsidRPr="00D4024B">
        <w:rPr>
          <w:i/>
        </w:rPr>
        <w:t xml:space="preserve">Royal Commission into Institutional Responses into Child Sex Abuse </w:t>
      </w:r>
      <w:r w:rsidRPr="00D4024B">
        <w:t xml:space="preserve">(Final Report, December 2017); </w:t>
      </w:r>
      <w:r w:rsidRPr="00D4024B">
        <w:rPr>
          <w:i/>
        </w:rPr>
        <w:t>Royal Commission into Family Violence</w:t>
      </w:r>
      <w:r w:rsidRPr="00D4024B">
        <w:t xml:space="preserve"> (Final Report, March 2016). </w:t>
      </w:r>
    </w:p>
  </w:footnote>
  <w:footnote w:id="26">
    <w:p w14:paraId="513B9859" w14:textId="77777777" w:rsidR="00D80102" w:rsidRPr="00AF1182" w:rsidRDefault="00D80102" w:rsidP="006759A6">
      <w:pPr>
        <w:pStyle w:val="FootnoteText"/>
      </w:pPr>
      <w:r w:rsidRPr="00AF1182">
        <w:rPr>
          <w:rStyle w:val="FootnoteReference"/>
          <w:sz w:val="16"/>
        </w:rPr>
        <w:footnoteRef/>
      </w:r>
      <w:r w:rsidRPr="00AF1182">
        <w:t xml:space="preserve"> VLA notes that men also experience family violence, and require safe and responsive services, but acknowledges that family violence is overwhelming experienced by women and children.</w:t>
      </w:r>
    </w:p>
  </w:footnote>
  <w:footnote w:id="27">
    <w:p w14:paraId="3F902C3F" w14:textId="2167215F" w:rsidR="00D80102" w:rsidRDefault="00D80102">
      <w:pPr>
        <w:pStyle w:val="FootnoteText"/>
      </w:pPr>
      <w:r w:rsidRPr="00AF1182">
        <w:rPr>
          <w:rStyle w:val="FootnoteReference"/>
          <w:sz w:val="16"/>
        </w:rPr>
        <w:footnoteRef/>
      </w:r>
      <w:r>
        <w:t xml:space="preserve"> We note that many families who experience child protection intervention also experience family violence. See Recommendations related to child protection intervention for parents experiencing mental health issues set out in section </w:t>
      </w:r>
      <w:r w:rsidRPr="00651DD8">
        <w:t>7.2</w:t>
      </w:r>
      <w:r>
        <w:t xml:space="preserve"> below.</w:t>
      </w:r>
    </w:p>
  </w:footnote>
  <w:footnote w:id="28">
    <w:p w14:paraId="76506E2A" w14:textId="109E8851" w:rsidR="00D80102" w:rsidRPr="00AF1182" w:rsidRDefault="00D80102" w:rsidP="006759A6">
      <w:pPr>
        <w:pStyle w:val="FootnoteText"/>
      </w:pPr>
      <w:r w:rsidRPr="00AF1182">
        <w:rPr>
          <w:rStyle w:val="FootnoteReference"/>
          <w:sz w:val="16"/>
        </w:rPr>
        <w:footnoteRef/>
      </w:r>
      <w:r w:rsidRPr="00AF1182">
        <w:t xml:space="preserve"> Roads to Recovery </w:t>
      </w:r>
      <w:r>
        <w:t xml:space="preserve">(n 1) 53. </w:t>
      </w:r>
    </w:p>
  </w:footnote>
  <w:footnote w:id="29">
    <w:p w14:paraId="43F0BEEC" w14:textId="213E1558" w:rsidR="00D80102" w:rsidRDefault="00D80102">
      <w:pPr>
        <w:pStyle w:val="FootnoteText"/>
      </w:pPr>
      <w:r>
        <w:rPr>
          <w:rStyle w:val="FootnoteReference"/>
        </w:rPr>
        <w:footnoteRef/>
      </w:r>
      <w:r>
        <w:t xml:space="preserve"> Training in family violence should include specific </w:t>
      </w:r>
      <w:r w:rsidRPr="00BC45F0">
        <w:t>elder abuse training for services to identify and respond to older people experiencing elder abuse</w:t>
      </w:r>
      <w:r>
        <w:t>.</w:t>
      </w:r>
    </w:p>
  </w:footnote>
  <w:footnote w:id="30">
    <w:p w14:paraId="0EF47185" w14:textId="5B7A73CA" w:rsidR="00D80102" w:rsidRPr="00AF1182" w:rsidRDefault="00D80102">
      <w:pPr>
        <w:pStyle w:val="FootnoteText"/>
        <w:rPr>
          <w:i/>
        </w:rPr>
      </w:pPr>
      <w:r w:rsidRPr="00AF1182">
        <w:rPr>
          <w:rStyle w:val="FootnoteReference"/>
          <w:sz w:val="16"/>
        </w:rPr>
        <w:footnoteRef/>
      </w:r>
      <w:r>
        <w:t xml:space="preserve"> See particularly recommendations 95, 97, 98, 99 and 102.</w:t>
      </w:r>
    </w:p>
  </w:footnote>
  <w:footnote w:id="31">
    <w:p w14:paraId="1EEBCB77" w14:textId="39C31EB5" w:rsidR="00D80102" w:rsidRPr="00AF1182" w:rsidRDefault="00D80102" w:rsidP="00314254">
      <w:pPr>
        <w:pStyle w:val="FootnoteText"/>
      </w:pPr>
      <w:r w:rsidRPr="00AF1182">
        <w:rPr>
          <w:rStyle w:val="FootnoteReference"/>
          <w:sz w:val="16"/>
        </w:rPr>
        <w:footnoteRef/>
      </w:r>
      <w:r w:rsidRPr="00AF1182">
        <w:t xml:space="preserve"> These are discussed in greater detail in</w:t>
      </w:r>
      <w:r>
        <w:t>:</w:t>
      </w:r>
      <w:r w:rsidRPr="00AF1182">
        <w:t xml:space="preserve"> Roads to Recovery</w:t>
      </w:r>
      <w:r>
        <w:t xml:space="preserve"> (n 1)</w:t>
      </w:r>
      <w:r w:rsidRPr="00AF1182">
        <w:t xml:space="preserve"> </w:t>
      </w:r>
      <w:r>
        <w:t xml:space="preserve">60. </w:t>
      </w:r>
    </w:p>
  </w:footnote>
  <w:footnote w:id="32">
    <w:p w14:paraId="726B6E16" w14:textId="1ED0DB07" w:rsidR="00D80102" w:rsidRPr="00AF1182" w:rsidRDefault="00D80102" w:rsidP="006759A6">
      <w:pPr>
        <w:pStyle w:val="FootnoteText"/>
      </w:pPr>
      <w:r w:rsidRPr="00AF1182">
        <w:rPr>
          <w:rStyle w:val="FootnoteReference"/>
          <w:sz w:val="16"/>
        </w:rPr>
        <w:footnoteRef/>
      </w:r>
      <w:r w:rsidRPr="00AF1182">
        <w:t xml:space="preserve"> </w:t>
      </w:r>
      <w:r>
        <w:t xml:space="preserve">Roads to Recovery (n 1) 62. </w:t>
      </w:r>
    </w:p>
  </w:footnote>
  <w:footnote w:id="33">
    <w:p w14:paraId="1E6B3E13" w14:textId="54F509E7" w:rsidR="00D80102" w:rsidRPr="00AF1182" w:rsidRDefault="00D80102" w:rsidP="006759A6">
      <w:pPr>
        <w:pStyle w:val="FootnoteText"/>
      </w:pPr>
      <w:r w:rsidRPr="00AF1182">
        <w:rPr>
          <w:rStyle w:val="FootnoteReference"/>
          <w:sz w:val="16"/>
        </w:rPr>
        <w:footnoteRef/>
      </w:r>
      <w:r w:rsidRPr="00AF1182">
        <w:t xml:space="preserve"> Roads to Recovery</w:t>
      </w:r>
      <w:r>
        <w:t xml:space="preserve"> (</w:t>
      </w:r>
      <w:r w:rsidRPr="00AF1182">
        <w:t xml:space="preserve">n </w:t>
      </w:r>
      <w:r>
        <w:t>1)</w:t>
      </w:r>
      <w:r w:rsidRPr="00AF1182">
        <w:t xml:space="preserve"> </w:t>
      </w:r>
      <w:r>
        <w:t xml:space="preserve">60. </w:t>
      </w:r>
    </w:p>
  </w:footnote>
  <w:footnote w:id="34">
    <w:p w14:paraId="133930F4" w14:textId="5B3E7076" w:rsidR="00D80102" w:rsidRPr="00AF1182" w:rsidRDefault="00D80102" w:rsidP="006759A6">
      <w:pPr>
        <w:pStyle w:val="FootnoteText"/>
      </w:pPr>
      <w:r w:rsidRPr="00AF1182">
        <w:rPr>
          <w:rStyle w:val="FootnoteReference"/>
          <w:sz w:val="16"/>
        </w:rPr>
        <w:footnoteRef/>
      </w:r>
      <w:r w:rsidRPr="00AF1182">
        <w:t xml:space="preserve"> </w:t>
      </w:r>
      <w:r w:rsidRPr="00A96CAF">
        <w:rPr>
          <w:i/>
        </w:rPr>
        <w:t>Mental Health Act 2014</w:t>
      </w:r>
      <w:r w:rsidRPr="00AF1182">
        <w:t xml:space="preserve"> (Vic) s</w:t>
      </w:r>
      <w:r>
        <w:t>s</w:t>
      </w:r>
      <w:r w:rsidRPr="00AF1182">
        <w:t xml:space="preserve"> 11(g)</w:t>
      </w:r>
      <w:r>
        <w:t xml:space="preserve"> and 11(f</w:t>
      </w:r>
      <w:r w:rsidRPr="00AF1182">
        <w:t>).</w:t>
      </w:r>
    </w:p>
  </w:footnote>
  <w:footnote w:id="35">
    <w:p w14:paraId="1417B026" w14:textId="7E045EE5" w:rsidR="00D80102" w:rsidRPr="00AF1182" w:rsidRDefault="00D80102" w:rsidP="006759A6">
      <w:pPr>
        <w:pStyle w:val="FootnoteText"/>
      </w:pPr>
      <w:r w:rsidRPr="00864971">
        <w:rPr>
          <w:rStyle w:val="FootnoteReference"/>
          <w:sz w:val="16"/>
        </w:rPr>
        <w:footnoteRef/>
      </w:r>
      <w:r w:rsidRPr="00864971">
        <w:t xml:space="preserve"> </w:t>
      </w:r>
      <w:r w:rsidRPr="00651DD8">
        <w:t xml:space="preserve">See </w:t>
      </w:r>
      <w:r>
        <w:t>r</w:t>
      </w:r>
      <w:r w:rsidRPr="00651DD8">
        <w:t>ecommendation 34.</w:t>
      </w:r>
      <w:r w:rsidRPr="008D2DF4">
        <w:t xml:space="preserve"> </w:t>
      </w:r>
    </w:p>
  </w:footnote>
  <w:footnote w:id="36">
    <w:p w14:paraId="2C7AAC5B" w14:textId="77777777" w:rsidR="00D80102" w:rsidRPr="00AF1182" w:rsidRDefault="00D80102" w:rsidP="00EC41F0">
      <w:pPr>
        <w:pStyle w:val="FootnoteText"/>
      </w:pPr>
      <w:r w:rsidRPr="00AF1182">
        <w:rPr>
          <w:rStyle w:val="FootnoteReference"/>
          <w:sz w:val="16"/>
        </w:rPr>
        <w:footnoteRef/>
      </w:r>
      <w:r w:rsidRPr="00AF1182">
        <w:t xml:space="preserve"> </w:t>
      </w:r>
      <w:r w:rsidRPr="002E7B9A">
        <w:rPr>
          <w:bCs/>
        </w:rPr>
        <w:t>IMHA Evaluation Report</w:t>
      </w:r>
      <w:r w:rsidRPr="00AF1182">
        <w:t xml:space="preserve"> </w:t>
      </w:r>
      <w:r>
        <w:t>(n 14)</w:t>
      </w:r>
      <w:r w:rsidRPr="00AF1182">
        <w:t xml:space="preserve"> 23</w:t>
      </w:r>
      <w:r w:rsidRPr="00AF1182">
        <w:rPr>
          <w:b/>
        </w:rPr>
        <w:t>.</w:t>
      </w:r>
      <w:r w:rsidRPr="00AF1182">
        <w:t xml:space="preserve"> This has been confirmed by other oversight bodies. See e.g.: O</w:t>
      </w:r>
      <w:r>
        <w:t>ffice of the Public Advocate</w:t>
      </w:r>
      <w:r w:rsidRPr="00AF1182">
        <w:t xml:space="preserve">, </w:t>
      </w:r>
      <w:r w:rsidRPr="006F2780">
        <w:rPr>
          <w:i/>
        </w:rPr>
        <w:t>Community Visitors Annual Report 2018-2019</w:t>
      </w:r>
      <w:r>
        <w:t xml:space="preserve"> </w:t>
      </w:r>
      <w:r w:rsidRPr="00AF1182">
        <w:t>(</w:t>
      </w:r>
      <w:r>
        <w:t>Report</w:t>
      </w:r>
      <w:r w:rsidRPr="00AF1182">
        <w:t>, 2019) &lt;</w:t>
      </w:r>
      <w:hyperlink r:id="rId11" w:history="1">
        <w:r w:rsidRPr="00AF1182">
          <w:rPr>
            <w:rStyle w:val="Hyperlink"/>
          </w:rPr>
          <w:t>https://www.publicadvocate.vic.gov.au/resources/annual-reports/community-visitors-annual-reports/637-opa-cv-annual-report-2018-19/file</w:t>
        </w:r>
      </w:hyperlink>
      <w:r w:rsidRPr="00AF1182">
        <w:t>&gt;</w:t>
      </w:r>
      <w:r>
        <w:t xml:space="preserve">. </w:t>
      </w:r>
    </w:p>
  </w:footnote>
  <w:footnote w:id="37">
    <w:p w14:paraId="7932E484" w14:textId="77777777" w:rsidR="00D80102" w:rsidRPr="00AF1182" w:rsidRDefault="00D80102" w:rsidP="00EC41F0">
      <w:pPr>
        <w:pStyle w:val="FootnoteText"/>
      </w:pPr>
      <w:r w:rsidRPr="00AF1182">
        <w:rPr>
          <w:rStyle w:val="FootnoteReference"/>
          <w:sz w:val="16"/>
        </w:rPr>
        <w:footnoteRef/>
      </w:r>
      <w:r w:rsidRPr="00AF1182">
        <w:t xml:space="preserve"> We note the commitment to the Chief Psychiatrist coordinating the development of a family violence learning agenda that includes continuing professional development and guidance on appropriate response to people with mental illness who have also suffered family violence: Office of the Chief Psychiatrist, </w:t>
      </w:r>
      <w:r w:rsidRPr="00AF1182">
        <w:rPr>
          <w:i/>
        </w:rPr>
        <w:t>Commitment to a family violence learning agenda</w:t>
      </w:r>
      <w:r w:rsidRPr="00AF1182">
        <w:t xml:space="preserve"> (June 2019) &lt;</w:t>
      </w:r>
      <w:hyperlink r:id="rId12" w:history="1">
        <w:r w:rsidRPr="00AF1182">
          <w:rPr>
            <w:rStyle w:val="Hyperlink"/>
          </w:rPr>
          <w:t>https://www2.health.vic.gov.au/about/publications/policiesandguidelines/commitment-family-violence-learning-agenda</w:t>
        </w:r>
      </w:hyperlink>
      <w:r w:rsidRPr="00AF1182">
        <w:t>&gt;.</w:t>
      </w:r>
    </w:p>
  </w:footnote>
  <w:footnote w:id="38">
    <w:p w14:paraId="30758468" w14:textId="77777777" w:rsidR="00D80102" w:rsidRPr="00AF1182" w:rsidRDefault="00D80102" w:rsidP="00EC41F0">
      <w:pPr>
        <w:pStyle w:val="FootnoteText"/>
      </w:pPr>
      <w:r w:rsidRPr="00AF1182">
        <w:rPr>
          <w:rStyle w:val="FootnoteReference"/>
          <w:sz w:val="16"/>
        </w:rPr>
        <w:footnoteRef/>
      </w:r>
      <w:r w:rsidRPr="00AF1182">
        <w:t xml:space="preserve"> </w:t>
      </w:r>
      <w:r>
        <w:t xml:space="preserve">See Section 6 below, in particular, Recommendations 29 and </w:t>
      </w:r>
      <w:proofErr w:type="gramStart"/>
      <w:r>
        <w:t>30.</w:t>
      </w:r>
      <w:r w:rsidRPr="00AF1182">
        <w:t>National</w:t>
      </w:r>
      <w:proofErr w:type="gramEnd"/>
      <w:r w:rsidRPr="00AF1182">
        <w:t xml:space="preserve"> LGBTI Health Alliance, </w:t>
      </w:r>
      <w:r w:rsidRPr="00AF1182">
        <w:rPr>
          <w:i/>
        </w:rPr>
        <w:t>Snapshot of mental health and suicide prevention statistics for LGBTI people</w:t>
      </w:r>
      <w:r w:rsidRPr="00AF1182">
        <w:t xml:space="preserve"> (</w:t>
      </w:r>
      <w:r>
        <w:t xml:space="preserve">Report, </w:t>
      </w:r>
      <w:r w:rsidRPr="00AF1182">
        <w:t>February 2020</w:t>
      </w:r>
      <w:r w:rsidRPr="00651DD8">
        <w:t>).</w:t>
      </w:r>
      <w:r w:rsidRPr="00AF1182">
        <w:rPr>
          <w:highlight w:val="yellow"/>
        </w:rPr>
        <w:t xml:space="preserve"> </w:t>
      </w:r>
    </w:p>
  </w:footnote>
  <w:footnote w:id="39">
    <w:p w14:paraId="2765455A" w14:textId="77777777" w:rsidR="00D80102" w:rsidRPr="00AF1182" w:rsidRDefault="00D80102" w:rsidP="00EC41F0">
      <w:pPr>
        <w:spacing w:before="40" w:after="0" w:line="240" w:lineRule="auto"/>
        <w:rPr>
          <w:rFonts w:cs="Arial"/>
          <w:sz w:val="16"/>
          <w:szCs w:val="16"/>
        </w:rPr>
      </w:pPr>
      <w:r w:rsidRPr="00AF1182">
        <w:rPr>
          <w:rStyle w:val="FootnoteReference"/>
          <w:rFonts w:cs="Arial"/>
          <w:sz w:val="16"/>
          <w:szCs w:val="16"/>
        </w:rPr>
        <w:footnoteRef/>
      </w:r>
      <w:r w:rsidRPr="00AF1182">
        <w:rPr>
          <w:rFonts w:cs="Arial"/>
          <w:sz w:val="16"/>
          <w:szCs w:val="16"/>
        </w:rPr>
        <w:t xml:space="preserve"> Royal Commission into Aged Care Quality and Safety, </w:t>
      </w:r>
      <w:r w:rsidRPr="00AF1182">
        <w:rPr>
          <w:rFonts w:cs="Arial"/>
          <w:i/>
          <w:sz w:val="16"/>
          <w:szCs w:val="16"/>
        </w:rPr>
        <w:t xml:space="preserve">Terms of Reference </w:t>
      </w:r>
      <w:r w:rsidRPr="00AF1182">
        <w:rPr>
          <w:rFonts w:cs="Arial"/>
          <w:sz w:val="16"/>
          <w:szCs w:val="16"/>
        </w:rPr>
        <w:t>(</w:t>
      </w:r>
      <w:r>
        <w:rPr>
          <w:rFonts w:cs="Arial"/>
          <w:sz w:val="16"/>
          <w:szCs w:val="16"/>
        </w:rPr>
        <w:t xml:space="preserve">Web Page, 6 </w:t>
      </w:r>
      <w:r w:rsidRPr="00AF1182">
        <w:rPr>
          <w:rFonts w:cs="Arial"/>
          <w:sz w:val="16"/>
          <w:szCs w:val="16"/>
        </w:rPr>
        <w:t>December 2018) &lt;</w:t>
      </w:r>
      <w:r w:rsidRPr="00002DDF">
        <w:rPr>
          <w:rFonts w:cs="Arial"/>
          <w:sz w:val="16"/>
          <w:szCs w:val="16"/>
        </w:rPr>
        <w:t>https://agedcare.royalcommission.gov.au/Pages/Terms-of-reference.aspx</w:t>
      </w:r>
      <w:r w:rsidRPr="00AF1182">
        <w:rPr>
          <w:rFonts w:cs="Arial"/>
          <w:sz w:val="16"/>
          <w:szCs w:val="16"/>
        </w:rPr>
        <w:t>&gt;.</w:t>
      </w:r>
    </w:p>
  </w:footnote>
  <w:footnote w:id="40">
    <w:p w14:paraId="732250AE" w14:textId="77777777" w:rsidR="00D80102" w:rsidRPr="00AF1182" w:rsidRDefault="00D80102" w:rsidP="00EC41F0">
      <w:pPr>
        <w:pStyle w:val="FootnoteText"/>
      </w:pPr>
      <w:r w:rsidRPr="00AF1182">
        <w:rPr>
          <w:rStyle w:val="FootnoteReference"/>
          <w:sz w:val="16"/>
        </w:rPr>
        <w:footnoteRef/>
      </w:r>
      <w:r w:rsidRPr="00AF1182">
        <w:t xml:space="preserve"> World Health Organisation and Calouste Gulbenkian Foundation, </w:t>
      </w:r>
      <w:r w:rsidRPr="00AF1182">
        <w:rPr>
          <w:i/>
        </w:rPr>
        <w:t>Social determinants of mental health</w:t>
      </w:r>
      <w:r w:rsidRPr="00AF1182">
        <w:t xml:space="preserve"> (2014)  &lt;</w:t>
      </w:r>
      <w:hyperlink r:id="rId13" w:history="1">
        <w:r w:rsidRPr="00AF1182">
          <w:rPr>
            <w:rStyle w:val="Hyperlink"/>
          </w:rPr>
          <w:t>https://apps.who.int/iris/bitstream/handle/10665/112828/9789241506809_eng.pdf</w:t>
        </w:r>
      </w:hyperlink>
      <w:r w:rsidRPr="00AF1182">
        <w:t>&gt;</w:t>
      </w:r>
      <w:r>
        <w:t>.</w:t>
      </w:r>
      <w:r w:rsidRPr="00AF1182">
        <w:t xml:space="preserve"> </w:t>
      </w:r>
    </w:p>
  </w:footnote>
  <w:footnote w:id="41">
    <w:p w14:paraId="067E0BE4" w14:textId="77777777" w:rsidR="00D80102" w:rsidRDefault="00D80102" w:rsidP="00EC41F0">
      <w:pPr>
        <w:pStyle w:val="FootnoteText"/>
      </w:pPr>
      <w:r>
        <w:rPr>
          <w:rStyle w:val="FootnoteReference"/>
        </w:rPr>
        <w:footnoteRef/>
      </w:r>
      <w:r>
        <w:t xml:space="preserve"> Roads to Recovery (n 1) part 5.</w:t>
      </w:r>
    </w:p>
  </w:footnote>
  <w:footnote w:id="42">
    <w:p w14:paraId="1F5203DF" w14:textId="30508AA0" w:rsidR="00D80102" w:rsidRDefault="00D80102">
      <w:pPr>
        <w:pStyle w:val="FootnoteText"/>
      </w:pPr>
      <w:r>
        <w:rPr>
          <w:rStyle w:val="FootnoteReference"/>
        </w:rPr>
        <w:footnoteRef/>
      </w:r>
      <w:r>
        <w:t xml:space="preserve"> This should include: </w:t>
      </w:r>
      <w:r w:rsidRPr="00BC45F0">
        <w:t>cultural diversity training to develop culturally safe practices for culturally and linguistically diverse communities</w:t>
      </w:r>
      <w:r>
        <w:t xml:space="preserve"> including interpreter use; </w:t>
      </w:r>
      <w:r w:rsidRPr="00BC45F0">
        <w:t>Aboriginal and Torres Strait Islander cultural training to better support the social and emotional wellbeing of Aboriginal and Torres Strait Islander people that is embedded and ongoing to ensure culturally competency and, ultimately, cultural safety</w:t>
      </w:r>
      <w:r>
        <w:t>; targeted training in providing safe and inclusive services to LGBTIQ+ consumers; and sp</w:t>
      </w:r>
      <w:r w:rsidRPr="00BC45F0">
        <w:t>ecialist training to identify and respond to co-existing issues, including problematic drug and/or alcohol use, problem gambling, disability, communication practices for engaging with neurodiverse consumers, stigma and discrimination against people diagnosed with personality disorders, including making appropriate ref</w:t>
      </w:r>
      <w:r>
        <w:t>errals.</w:t>
      </w:r>
    </w:p>
  </w:footnote>
  <w:footnote w:id="43">
    <w:p w14:paraId="51363B78" w14:textId="1FC0FC6B" w:rsidR="00D80102" w:rsidRDefault="00D80102">
      <w:pPr>
        <w:pStyle w:val="FootnoteText"/>
      </w:pPr>
      <w:r w:rsidRPr="007E38F4">
        <w:rPr>
          <w:rStyle w:val="FootnoteReference"/>
          <w:sz w:val="16"/>
        </w:rPr>
        <w:footnoteRef/>
      </w:r>
      <w:r w:rsidRPr="007E38F4">
        <w:t xml:space="preserve"> </w:t>
      </w:r>
      <w:r>
        <w:t xml:space="preserve">See recommendations 19 – 28. </w:t>
      </w:r>
    </w:p>
  </w:footnote>
  <w:footnote w:id="44">
    <w:p w14:paraId="250CE47D" w14:textId="715BFEF8" w:rsidR="00D80102" w:rsidRPr="00AF1182" w:rsidRDefault="00D80102" w:rsidP="006759A6">
      <w:pPr>
        <w:pStyle w:val="FootnoteText"/>
      </w:pPr>
      <w:r w:rsidRPr="00AF1182">
        <w:rPr>
          <w:rStyle w:val="FootnoteReference"/>
          <w:sz w:val="16"/>
        </w:rPr>
        <w:footnoteRef/>
      </w:r>
      <w:r w:rsidRPr="00AF1182">
        <w:t xml:space="preserve"> Roads to Recovery</w:t>
      </w:r>
      <w:r>
        <w:t xml:space="preserve"> (</w:t>
      </w:r>
      <w:r w:rsidRPr="00AF1182">
        <w:t xml:space="preserve">n </w:t>
      </w:r>
      <w:r>
        <w:t>1)</w:t>
      </w:r>
      <w:r w:rsidRPr="00AF1182">
        <w:t xml:space="preserve"> 17.</w:t>
      </w:r>
    </w:p>
  </w:footnote>
  <w:footnote w:id="45">
    <w:p w14:paraId="677B2D41" w14:textId="066F13F5" w:rsidR="00D80102" w:rsidRPr="00AF1182" w:rsidRDefault="00D80102" w:rsidP="006759A6">
      <w:pPr>
        <w:pStyle w:val="FootnoteText"/>
      </w:pPr>
      <w:r w:rsidRPr="00AF1182">
        <w:rPr>
          <w:rStyle w:val="FootnoteReference"/>
          <w:sz w:val="16"/>
        </w:rPr>
        <w:footnoteRef/>
      </w:r>
      <w:r w:rsidRPr="00AF1182">
        <w:t xml:space="preserve"> Roads to </w:t>
      </w:r>
      <w:r>
        <w:t>R</w:t>
      </w:r>
      <w:r w:rsidRPr="00AF1182">
        <w:t>ecovery</w:t>
      </w:r>
      <w:r>
        <w:t xml:space="preserve"> (</w:t>
      </w:r>
      <w:r w:rsidRPr="00AF1182">
        <w:t xml:space="preserve">n </w:t>
      </w:r>
      <w:r>
        <w:t>1)</w:t>
      </w:r>
      <w:r w:rsidRPr="00AF1182">
        <w:t xml:space="preserve"> 13.</w:t>
      </w:r>
    </w:p>
  </w:footnote>
  <w:footnote w:id="46">
    <w:p w14:paraId="4322A5F2" w14:textId="4213D9E8" w:rsidR="00D80102" w:rsidRPr="00AF1182" w:rsidRDefault="00D80102" w:rsidP="006759A6">
      <w:pPr>
        <w:pStyle w:val="FootnoteText"/>
      </w:pPr>
      <w:r w:rsidRPr="00D80440">
        <w:rPr>
          <w:rStyle w:val="FootnoteReference"/>
          <w:sz w:val="16"/>
        </w:rPr>
        <w:footnoteRef/>
      </w:r>
      <w:r w:rsidRPr="00D80440">
        <w:t xml:space="preserve"> </w:t>
      </w:r>
      <w:r w:rsidRPr="00651DD8">
        <w:t xml:space="preserve">This recommendation is further supported by recommendation 4.  </w:t>
      </w:r>
    </w:p>
  </w:footnote>
  <w:footnote w:id="47">
    <w:p w14:paraId="5BD8DCAA" w14:textId="66B35DAA" w:rsidR="00D80102" w:rsidRPr="00AF1182" w:rsidRDefault="00D80102" w:rsidP="006759A6">
      <w:pPr>
        <w:pStyle w:val="FootnoteText"/>
      </w:pPr>
      <w:r w:rsidRPr="00AF1182">
        <w:rPr>
          <w:rStyle w:val="FootnoteReference"/>
          <w:sz w:val="16"/>
        </w:rPr>
        <w:footnoteRef/>
      </w:r>
      <w:r w:rsidRPr="00AF1182">
        <w:t xml:space="preserve"> </w:t>
      </w:r>
      <w:r w:rsidRPr="00AF1182">
        <w:rPr>
          <w:lang w:val="en-US"/>
        </w:rPr>
        <w:t>Roads to Recover</w:t>
      </w:r>
      <w:r>
        <w:rPr>
          <w:lang w:val="en-US"/>
        </w:rPr>
        <w:t>y</w:t>
      </w:r>
      <w:r w:rsidRPr="00AF1182">
        <w:rPr>
          <w:lang w:val="en-US"/>
        </w:rPr>
        <w:t xml:space="preserve"> </w:t>
      </w:r>
      <w:r>
        <w:rPr>
          <w:lang w:val="en-US"/>
        </w:rPr>
        <w:t>(</w:t>
      </w:r>
      <w:r w:rsidRPr="00AF1182">
        <w:rPr>
          <w:lang w:val="en-US"/>
        </w:rPr>
        <w:t xml:space="preserve">n </w:t>
      </w:r>
      <w:r>
        <w:rPr>
          <w:lang w:val="en-US"/>
        </w:rPr>
        <w:t>1)</w:t>
      </w:r>
      <w:r w:rsidRPr="00AF1182">
        <w:rPr>
          <w:lang w:val="en-US"/>
        </w:rPr>
        <w:t xml:space="preserve"> 16.</w:t>
      </w:r>
    </w:p>
  </w:footnote>
  <w:footnote w:id="48">
    <w:p w14:paraId="3B559B3E" w14:textId="77777777" w:rsidR="00D80102" w:rsidRPr="00AF1182" w:rsidRDefault="00D80102" w:rsidP="006759A6">
      <w:pPr>
        <w:pStyle w:val="FootnoteText"/>
      </w:pPr>
      <w:r w:rsidRPr="00AF1182">
        <w:rPr>
          <w:rStyle w:val="FootnoteReference"/>
          <w:sz w:val="16"/>
        </w:rPr>
        <w:footnoteRef/>
      </w:r>
      <w:r w:rsidRPr="00651DD8">
        <w:t xml:space="preserve"> </w:t>
      </w:r>
      <w:r w:rsidRPr="00AF1182">
        <w:rPr>
          <w:lang w:val="en-US"/>
        </w:rPr>
        <w:t>Roads to Recover</w:t>
      </w:r>
      <w:r>
        <w:rPr>
          <w:lang w:val="en-US"/>
        </w:rPr>
        <w:t>y</w:t>
      </w:r>
      <w:r w:rsidRPr="00AF1182">
        <w:rPr>
          <w:lang w:val="en-US"/>
        </w:rPr>
        <w:t xml:space="preserve"> </w:t>
      </w:r>
      <w:r>
        <w:rPr>
          <w:lang w:val="en-US"/>
        </w:rPr>
        <w:t>(n 1)</w:t>
      </w:r>
      <w:r w:rsidRPr="00AF1182">
        <w:rPr>
          <w:lang w:val="en-US"/>
        </w:rPr>
        <w:t xml:space="preserve"> </w:t>
      </w:r>
      <w:r>
        <w:t xml:space="preserve">16. </w:t>
      </w:r>
    </w:p>
  </w:footnote>
  <w:footnote w:id="49">
    <w:p w14:paraId="679991E3" w14:textId="0A1D1E53" w:rsidR="00D80102" w:rsidRDefault="00D80102">
      <w:pPr>
        <w:pStyle w:val="FootnoteText"/>
      </w:pPr>
      <w:r w:rsidRPr="00AF1182">
        <w:rPr>
          <w:rStyle w:val="FootnoteReference"/>
          <w:sz w:val="16"/>
        </w:rPr>
        <w:footnoteRef/>
      </w:r>
      <w:r>
        <w:t xml:space="preserve"> Shared decision-making is where the consumer participates in the decision-making process but does not make the final decision.</w:t>
      </w:r>
    </w:p>
  </w:footnote>
  <w:footnote w:id="50">
    <w:p w14:paraId="056B92BD" w14:textId="1453AF9C" w:rsidR="00D80102" w:rsidRPr="00AF1182" w:rsidRDefault="00D80102" w:rsidP="006759A6">
      <w:pPr>
        <w:pStyle w:val="FootnoteText"/>
      </w:pPr>
      <w:r w:rsidRPr="00AF1182">
        <w:rPr>
          <w:rStyle w:val="FootnoteReference"/>
          <w:sz w:val="16"/>
        </w:rPr>
        <w:footnoteRef/>
      </w:r>
      <w:r w:rsidRPr="00AF1182">
        <w:t xml:space="preserve"> </w:t>
      </w:r>
      <w:r w:rsidRPr="002E7B9A">
        <w:rPr>
          <w:bCs/>
        </w:rPr>
        <w:t>IMHA Evaluation Report</w:t>
      </w:r>
      <w:r w:rsidRPr="00AF1182">
        <w:t xml:space="preserve"> </w:t>
      </w:r>
      <w:r>
        <w:t>(n 14) 35.</w:t>
      </w:r>
      <w:r w:rsidRPr="00AF1182">
        <w:t xml:space="preserve"> </w:t>
      </w:r>
    </w:p>
  </w:footnote>
  <w:footnote w:id="51">
    <w:p w14:paraId="581803EE" w14:textId="072AEEE7" w:rsidR="00D80102" w:rsidRDefault="00D80102">
      <w:pPr>
        <w:pStyle w:val="FootnoteText"/>
      </w:pPr>
      <w:r>
        <w:rPr>
          <w:rStyle w:val="FootnoteReference"/>
        </w:rPr>
        <w:footnoteRef/>
      </w:r>
      <w:r>
        <w:t xml:space="preserve"> </w:t>
      </w:r>
      <w:r w:rsidRPr="002E7B9A">
        <w:t>This recommendation is further supported by recommendation 13 in section 4.2.</w:t>
      </w:r>
    </w:p>
  </w:footnote>
  <w:footnote w:id="52">
    <w:p w14:paraId="7E8B8EA1" w14:textId="49BC53FF" w:rsidR="00D80102" w:rsidRPr="00AF1182" w:rsidRDefault="00D80102" w:rsidP="00634BF2">
      <w:pPr>
        <w:pStyle w:val="FootnoteText"/>
      </w:pPr>
      <w:r w:rsidRPr="00AF1182">
        <w:rPr>
          <w:rStyle w:val="FootnoteReference"/>
          <w:sz w:val="16"/>
        </w:rPr>
        <w:footnoteRef/>
      </w:r>
      <w:r w:rsidRPr="00AF1182">
        <w:t xml:space="preserve"> Roads to Recovery</w:t>
      </w:r>
      <w:r>
        <w:t xml:space="preserve"> (n 1) </w:t>
      </w:r>
      <w:proofErr w:type="gramStart"/>
      <w:r>
        <w:t>9</w:t>
      </w:r>
      <w:r w:rsidRPr="00003362">
        <w:t>.</w:t>
      </w:r>
      <w:r w:rsidRPr="0017298A">
        <w:t>.</w:t>
      </w:r>
      <w:proofErr w:type="gramEnd"/>
    </w:p>
  </w:footnote>
  <w:footnote w:id="53">
    <w:p w14:paraId="28026DCC" w14:textId="1B291BC8" w:rsidR="00D80102" w:rsidRPr="00AF1182" w:rsidRDefault="00D80102" w:rsidP="006759A6">
      <w:pPr>
        <w:pStyle w:val="FootnoteText"/>
      </w:pPr>
      <w:r w:rsidRPr="00AF1182">
        <w:rPr>
          <w:rStyle w:val="FootnoteReference"/>
          <w:sz w:val="16"/>
        </w:rPr>
        <w:footnoteRef/>
      </w:r>
      <w:r w:rsidRPr="00AF1182">
        <w:t xml:space="preserve"> Roads to Recovery</w:t>
      </w:r>
      <w:r>
        <w:t xml:space="preserve"> (</w:t>
      </w:r>
      <w:r w:rsidRPr="00AF1182">
        <w:t>n 1</w:t>
      </w:r>
      <w:r>
        <w:t>)</w:t>
      </w:r>
      <w:r w:rsidRPr="00AF1182">
        <w:t xml:space="preserve"> 9</w:t>
      </w:r>
      <w:r>
        <w:t xml:space="preserve">. </w:t>
      </w:r>
    </w:p>
  </w:footnote>
  <w:footnote w:id="54">
    <w:p w14:paraId="3A99BDE3" w14:textId="00BD0D81" w:rsidR="00D80102" w:rsidRPr="00AF1182" w:rsidRDefault="00D80102" w:rsidP="006759A6">
      <w:pPr>
        <w:pStyle w:val="FootnoteText"/>
      </w:pPr>
      <w:r w:rsidRPr="00AF1182">
        <w:rPr>
          <w:rStyle w:val="FootnoteReference"/>
          <w:sz w:val="16"/>
        </w:rPr>
        <w:footnoteRef/>
      </w:r>
      <w:r w:rsidRPr="00AF1182">
        <w:t xml:space="preserve"> National Mental Health Commission, </w:t>
      </w:r>
      <w:r w:rsidRPr="00AF1182">
        <w:rPr>
          <w:i/>
        </w:rPr>
        <w:t>Contributing Lives, Thriving Communities: Report of the National Review of Mental Health Programs and Services</w:t>
      </w:r>
      <w:r w:rsidRPr="00AF1182">
        <w:t xml:space="preserve"> (</w:t>
      </w:r>
      <w:r>
        <w:t xml:space="preserve">Report, December </w:t>
      </w:r>
      <w:r w:rsidRPr="00AF1182">
        <w:t>2014) &lt;</w:t>
      </w:r>
      <w:r w:rsidRPr="00275D68">
        <w:t>https://www.mentalhealthcommission.gov.au/monitoring-and-reporting/national-reports/2014-contributing-lives-review</w:t>
      </w:r>
      <w:r w:rsidRPr="00AF1182">
        <w:t xml:space="preserve">&gt;; </w:t>
      </w:r>
      <w:r w:rsidRPr="00AF1182">
        <w:rPr>
          <w:lang w:val="en-US"/>
        </w:rPr>
        <w:t xml:space="preserve">Victorian Auditor General’s Office, </w:t>
      </w:r>
      <w:r w:rsidRPr="00AF1182">
        <w:rPr>
          <w:i/>
          <w:lang w:val="en-US"/>
        </w:rPr>
        <w:t xml:space="preserve">Access to Mental Health Services </w:t>
      </w:r>
      <w:r w:rsidRPr="00AF1182">
        <w:rPr>
          <w:lang w:val="en-US"/>
        </w:rPr>
        <w:t>(</w:t>
      </w:r>
      <w:r>
        <w:rPr>
          <w:lang w:val="en-US"/>
        </w:rPr>
        <w:t xml:space="preserve">Independent Assurance Report, </w:t>
      </w:r>
      <w:r w:rsidRPr="00AF1182">
        <w:rPr>
          <w:lang w:val="en-US"/>
        </w:rPr>
        <w:t>March 2019) &lt;</w:t>
      </w:r>
      <w:hyperlink r:id="rId14" w:history="1">
        <w:r w:rsidRPr="00AF1182">
          <w:rPr>
            <w:rStyle w:val="Hyperlink"/>
            <w:lang w:val="en-US"/>
          </w:rPr>
          <w:t>https://www.audit.vic.gov.au/report/access-mental-health-services?section=33107--</w:t>
        </w:r>
        <w:bookmarkStart w:id="422" w:name="_Hlt40872678"/>
        <w:r w:rsidRPr="00AF1182">
          <w:rPr>
            <w:rStyle w:val="Hyperlink"/>
            <w:lang w:val="en-US"/>
          </w:rPr>
          <w:t>3</w:t>
        </w:r>
        <w:bookmarkEnd w:id="422"/>
        <w:r w:rsidRPr="00AF1182">
          <w:rPr>
            <w:rStyle w:val="Hyperlink"/>
            <w:lang w:val="en-US"/>
          </w:rPr>
          <w:t>-understanding-and-meeting-demand</w:t>
        </w:r>
      </w:hyperlink>
      <w:r w:rsidRPr="00AF1182">
        <w:t>&gt;.</w:t>
      </w:r>
    </w:p>
  </w:footnote>
  <w:footnote w:id="55">
    <w:p w14:paraId="71C9D643" w14:textId="6D1BCA63" w:rsidR="00D80102" w:rsidRPr="00AF1182" w:rsidRDefault="00D80102" w:rsidP="006759A6">
      <w:pPr>
        <w:pStyle w:val="FootnoteText"/>
      </w:pPr>
      <w:r w:rsidRPr="00651DD8">
        <w:rPr>
          <w:rStyle w:val="FootnoteReference"/>
          <w:sz w:val="16"/>
        </w:rPr>
        <w:footnoteRef/>
      </w:r>
      <w:r w:rsidRPr="00651DD8">
        <w:t xml:space="preserve"> See sections 1 and 2. </w:t>
      </w:r>
    </w:p>
  </w:footnote>
  <w:footnote w:id="56">
    <w:p w14:paraId="7C695079" w14:textId="36BA8B6E" w:rsidR="00D80102" w:rsidRPr="00AF1182" w:rsidRDefault="00D80102" w:rsidP="006759A6">
      <w:pPr>
        <w:pStyle w:val="FootnoteText"/>
      </w:pPr>
      <w:r w:rsidRPr="00E44478">
        <w:rPr>
          <w:rStyle w:val="FootnoteReference"/>
          <w:sz w:val="16"/>
        </w:rPr>
        <w:footnoteRef/>
      </w:r>
      <w:r w:rsidRPr="00E44478">
        <w:t xml:space="preserve"> </w:t>
      </w:r>
      <w:r w:rsidRPr="00651DD8">
        <w:t>This recommendation is further supported by recommendation 1 in section 1.1.</w:t>
      </w:r>
    </w:p>
  </w:footnote>
  <w:footnote w:id="57">
    <w:p w14:paraId="7D604B51" w14:textId="5F7616E2" w:rsidR="00D80102" w:rsidRDefault="00D80102">
      <w:pPr>
        <w:pStyle w:val="FootnoteText"/>
      </w:pPr>
      <w:r w:rsidRPr="00AF1182">
        <w:rPr>
          <w:rStyle w:val="FootnoteReference"/>
          <w:sz w:val="16"/>
        </w:rPr>
        <w:footnoteRef/>
      </w:r>
      <w:r>
        <w:t xml:space="preserve"> Roads to Recovery (n 1) 9. </w:t>
      </w:r>
    </w:p>
  </w:footnote>
  <w:footnote w:id="58">
    <w:p w14:paraId="346A3374" w14:textId="2407381C" w:rsidR="00D80102" w:rsidRDefault="00D80102">
      <w:pPr>
        <w:pStyle w:val="FootnoteText"/>
      </w:pPr>
      <w:r w:rsidRPr="00AF1182">
        <w:rPr>
          <w:rStyle w:val="FootnoteReference"/>
          <w:sz w:val="16"/>
        </w:rPr>
        <w:footnoteRef/>
      </w:r>
      <w:r>
        <w:t xml:space="preserve"> The impact of this ‘missing middle’ is discussed further </w:t>
      </w:r>
      <w:r w:rsidRPr="00651DD8">
        <w:t>in section 8.1</w:t>
      </w:r>
      <w:r>
        <w:t xml:space="preserve"> below.</w:t>
      </w:r>
    </w:p>
  </w:footnote>
  <w:footnote w:id="59">
    <w:p w14:paraId="5A125FA4" w14:textId="1DDDE937" w:rsidR="00D80102" w:rsidRPr="00AF1182" w:rsidRDefault="00D80102" w:rsidP="006759A6">
      <w:pPr>
        <w:pStyle w:val="FootnoteText"/>
      </w:pPr>
      <w:r w:rsidRPr="00AF1182">
        <w:rPr>
          <w:rStyle w:val="FootnoteReference"/>
          <w:sz w:val="16"/>
        </w:rPr>
        <w:footnoteRef/>
      </w:r>
      <w:r w:rsidRPr="00AF1182">
        <w:t xml:space="preserve"> Victoria Legal Aid, </w:t>
      </w:r>
      <w:r w:rsidRPr="00AF1182">
        <w:rPr>
          <w:i/>
        </w:rPr>
        <w:t>Ten Stories of NDIS ‘Thin Markets’: Reforming the NDIS to meet people’s needs</w:t>
      </w:r>
      <w:r w:rsidRPr="00AF1182">
        <w:t xml:space="preserve"> (</w:t>
      </w:r>
      <w:r>
        <w:t xml:space="preserve">Submission, </w:t>
      </w:r>
      <w:r w:rsidRPr="00AF1182">
        <w:t>June 2019) &lt;</w:t>
      </w:r>
      <w:hyperlink r:id="rId15" w:history="1">
        <w:r w:rsidRPr="00AF1182">
          <w:rPr>
            <w:rStyle w:val="Hyperlink"/>
          </w:rPr>
          <w:t>http://www.legalaid.vic.gov.au/sites/www.legalaid.vic.gov.au/files/vla-submission-to-the-ndis-thin-markets-project-june-2019.docx</w:t>
        </w:r>
      </w:hyperlink>
      <w:r w:rsidRPr="00AF1182">
        <w:t>&gt;</w:t>
      </w:r>
      <w:r>
        <w:t xml:space="preserve"> (</w:t>
      </w:r>
      <w:r>
        <w:rPr>
          <w:b/>
          <w:bCs/>
        </w:rPr>
        <w:t>Thin Markets Submission</w:t>
      </w:r>
      <w:r>
        <w:t>)</w:t>
      </w:r>
      <w:r w:rsidRPr="00AF1182">
        <w:t xml:space="preserve">; National Legal Aid, </w:t>
      </w:r>
      <w:r w:rsidRPr="00AF1182">
        <w:rPr>
          <w:i/>
        </w:rPr>
        <w:t>Putting people first: Removing barriers for people with disability to access NDIS supports</w:t>
      </w:r>
      <w:r w:rsidRPr="00AF1182">
        <w:t xml:space="preserve"> (</w:t>
      </w:r>
      <w:r>
        <w:t xml:space="preserve">Submission, </w:t>
      </w:r>
      <w:r w:rsidRPr="00AF1182">
        <w:t>November 2019) &lt;</w:t>
      </w:r>
      <w:hyperlink r:id="rId16" w:history="1">
        <w:r w:rsidRPr="00AF1182">
          <w:rPr>
            <w:rStyle w:val="Hyperlink"/>
          </w:rPr>
          <w:t>https://www.legalaid.vic.gov.au/sites/www.legalaid.vic.gov.au/files/vla-submission-putting-people-first-removing-barriers-for-people-with-disability-to-access-ndis-supports-11-2019.pdf</w:t>
        </w:r>
      </w:hyperlink>
      <w:r w:rsidRPr="00AF1182">
        <w:t>&gt;</w:t>
      </w:r>
      <w:r>
        <w:t xml:space="preserve"> (</w:t>
      </w:r>
      <w:r>
        <w:rPr>
          <w:b/>
          <w:bCs/>
        </w:rPr>
        <w:t>Putting People First Submission</w:t>
      </w:r>
      <w:r>
        <w:t xml:space="preserve">); Victoria Legal Aid, </w:t>
      </w:r>
      <w:r>
        <w:rPr>
          <w:i/>
          <w:iCs/>
        </w:rPr>
        <w:t xml:space="preserve">Inclusion and accessibility for all Victorians – submission to the Victorian government’s consultation paper for the state disability plan 2021-2024 </w:t>
      </w:r>
      <w:r>
        <w:t>(Submission, May 2020) &lt;</w:t>
      </w:r>
      <w:r w:rsidRPr="00FF5AB1">
        <w:t xml:space="preserve"> https://www.legalaid.vic.gov.au/about-us/strategic-advocacy-and-law-reform/access-to-justice-for-people-with-mental-illness-and-disabilit</w:t>
      </w:r>
      <w:r w:rsidRPr="00E837C2">
        <w:t>y</w:t>
      </w:r>
      <w:r w:rsidRPr="006F2780">
        <w:t>&gt;.</w:t>
      </w:r>
      <w:r>
        <w:t xml:space="preserve"> </w:t>
      </w:r>
    </w:p>
  </w:footnote>
  <w:footnote w:id="60">
    <w:p w14:paraId="30DA865B" w14:textId="23EF2934" w:rsidR="00D80102" w:rsidRDefault="00D80102" w:rsidP="007C551D">
      <w:pPr>
        <w:pStyle w:val="FootnoteText"/>
      </w:pPr>
      <w:r w:rsidRPr="00AF1182">
        <w:rPr>
          <w:rStyle w:val="FootnoteReference"/>
          <w:sz w:val="16"/>
        </w:rPr>
        <w:footnoteRef/>
      </w:r>
      <w:r>
        <w:t xml:space="preserve"> Thin Markets Submission (n 77)</w:t>
      </w:r>
      <w:r w:rsidRPr="00AF1182">
        <w:t xml:space="preserve">; </w:t>
      </w:r>
      <w:r>
        <w:t xml:space="preserve">Putting People First Submission (n 77). </w:t>
      </w:r>
    </w:p>
  </w:footnote>
  <w:footnote w:id="61">
    <w:p w14:paraId="4A612FEB" w14:textId="77777777" w:rsidR="00D80102" w:rsidRPr="00AF1182" w:rsidRDefault="00D80102" w:rsidP="007C551D">
      <w:pPr>
        <w:pStyle w:val="FootnoteText"/>
      </w:pPr>
      <w:r w:rsidRPr="00AF1182">
        <w:rPr>
          <w:rStyle w:val="FootnoteReference"/>
          <w:sz w:val="16"/>
        </w:rPr>
        <w:footnoteRef/>
      </w:r>
      <w:r w:rsidRPr="00AF1182">
        <w:t xml:space="preserve"> </w:t>
      </w:r>
      <w:r w:rsidRPr="006F2780">
        <w:t>Roads to Recovery (n 1)</w:t>
      </w:r>
      <w:r w:rsidRPr="00E837C2">
        <w:t xml:space="preserve"> </w:t>
      </w:r>
      <w:r w:rsidRPr="006F2780">
        <w:t>47</w:t>
      </w:r>
      <w:r>
        <w:t>. See also: Recommendation 24: Facilitating discharge from SECU.</w:t>
      </w:r>
    </w:p>
  </w:footnote>
  <w:footnote w:id="62">
    <w:p w14:paraId="1DBCAABB" w14:textId="290C7739" w:rsidR="00D80102" w:rsidRPr="00AF1182" w:rsidRDefault="00D80102" w:rsidP="006759A6">
      <w:pPr>
        <w:pStyle w:val="FootnoteText"/>
      </w:pPr>
      <w:r w:rsidRPr="00AF1182">
        <w:rPr>
          <w:rStyle w:val="FootnoteReference"/>
          <w:sz w:val="16"/>
        </w:rPr>
        <w:footnoteRef/>
      </w:r>
      <w:r w:rsidRPr="00AF1182">
        <w:t xml:space="preserve"> </w:t>
      </w:r>
      <w:r w:rsidRPr="00AF1182">
        <w:rPr>
          <w:lang w:val="en-US"/>
        </w:rPr>
        <w:t xml:space="preserve">Roads to Recovery </w:t>
      </w:r>
      <w:r>
        <w:rPr>
          <w:lang w:val="en-US"/>
        </w:rPr>
        <w:t>(</w:t>
      </w:r>
      <w:r w:rsidRPr="00AF1182">
        <w:rPr>
          <w:lang w:val="en-US"/>
        </w:rPr>
        <w:t xml:space="preserve">n </w:t>
      </w:r>
      <w:r>
        <w:rPr>
          <w:lang w:val="en-US"/>
        </w:rPr>
        <w:t>1)</w:t>
      </w:r>
      <w:r w:rsidRPr="00AF1182">
        <w:rPr>
          <w:lang w:val="en-US"/>
        </w:rPr>
        <w:t xml:space="preserve"> 48</w:t>
      </w:r>
      <w:r>
        <w:rPr>
          <w:lang w:val="en-US"/>
        </w:rPr>
        <w:t xml:space="preserve"> – </w:t>
      </w:r>
      <w:r w:rsidRPr="00AF1182">
        <w:rPr>
          <w:lang w:val="en-US"/>
        </w:rPr>
        <w:t>49.</w:t>
      </w:r>
    </w:p>
  </w:footnote>
  <w:footnote w:id="63">
    <w:p w14:paraId="7B75BF48" w14:textId="760DF230" w:rsidR="00D80102" w:rsidRPr="00AF1182" w:rsidRDefault="00D80102" w:rsidP="007572C5">
      <w:pPr>
        <w:pStyle w:val="FootnoteText"/>
      </w:pPr>
      <w:r w:rsidRPr="00651DD8">
        <w:rPr>
          <w:rStyle w:val="FootnoteReference"/>
          <w:sz w:val="16"/>
        </w:rPr>
        <w:footnoteRef/>
      </w:r>
      <w:r w:rsidRPr="00651DD8">
        <w:t xml:space="preserve"> This recommendation is further supported by recommendation 13 in section 4.2. </w:t>
      </w:r>
    </w:p>
  </w:footnote>
  <w:footnote w:id="64">
    <w:p w14:paraId="67658235" w14:textId="7284063C" w:rsidR="00D80102" w:rsidRDefault="00D80102">
      <w:pPr>
        <w:pStyle w:val="FootnoteText"/>
      </w:pPr>
      <w:r>
        <w:rPr>
          <w:rStyle w:val="FootnoteReference"/>
        </w:rPr>
        <w:footnoteRef/>
      </w:r>
      <w:r>
        <w:t xml:space="preserve"> This standard should require rectification of deficiencies related to: damaged furnishings and unpleasant odours; inadequate space and privacy; inadequate multidisciplinary staff to meet the needs of consumers with a diverse range of needs; lack of lived experience workforce; lack of outdoor spaces; lack of meaningful activities to support people’s recovery goals; lack of gender safe spaces; and inadequate natural light.</w:t>
      </w:r>
    </w:p>
  </w:footnote>
  <w:footnote w:id="65">
    <w:p w14:paraId="5F9CA811" w14:textId="4FF3369F" w:rsidR="00D80102" w:rsidRDefault="00D80102">
      <w:pPr>
        <w:pStyle w:val="FootnoteText"/>
      </w:pPr>
      <w:r>
        <w:rPr>
          <w:rStyle w:val="FootnoteReference"/>
        </w:rPr>
        <w:footnoteRef/>
      </w:r>
      <w:r>
        <w:t xml:space="preserve"> Currently this function would be undertaken by the Office of the Chief Psychiatrist but may move to an independent mental health regulator as discussed in </w:t>
      </w:r>
      <w:r w:rsidRPr="0058519E">
        <w:t>section 5.3(a).</w:t>
      </w:r>
    </w:p>
  </w:footnote>
  <w:footnote w:id="66">
    <w:p w14:paraId="1B7968BB" w14:textId="13886B2E" w:rsidR="00D80102" w:rsidRPr="00AF1182" w:rsidRDefault="00D80102" w:rsidP="006759A6">
      <w:pPr>
        <w:pStyle w:val="FootnoteText"/>
      </w:pPr>
      <w:r w:rsidRPr="00AF1182">
        <w:rPr>
          <w:rStyle w:val="FootnoteReference"/>
          <w:rFonts w:eastAsia="Arial"/>
          <w:sz w:val="16"/>
        </w:rPr>
        <w:footnoteRef/>
      </w:r>
      <w:r w:rsidRPr="00AF1182">
        <w:t xml:space="preserve"> Productivity Commission, </w:t>
      </w:r>
      <w:r w:rsidRPr="00AF1182">
        <w:rPr>
          <w:i/>
        </w:rPr>
        <w:t>Mental Health Inquiry: Draft Report</w:t>
      </w:r>
      <w:r w:rsidRPr="00AF1182">
        <w:t xml:space="preserve"> (Report, 31 October 2019), Draft Recommendations 15.1 (housing security for people with mental health issues); 15.2 (support people to find and maintain housing); and 24.3 (the National Housing and Homelessness Agreement). See also responses to questions taken on notice by Ms Louise Glanville, CEO of VLA, following evidence given on 18 November 2019 before the Productivity </w:t>
      </w:r>
      <w:proofErr w:type="gramStart"/>
      <w:r w:rsidRPr="00AF1182">
        <w:t>Commission‘</w:t>
      </w:r>
      <w:proofErr w:type="gramEnd"/>
      <w:r w:rsidRPr="00AF1182">
        <w:t>s Public Hearing into Mental Health</w:t>
      </w:r>
      <w:r>
        <w:t>: Answers to Questions on Notice (n 24</w:t>
      </w:r>
      <w:r w:rsidRPr="00AF1182">
        <w:t>) 3</w:t>
      </w:r>
      <w:r>
        <w:t xml:space="preserve">.  </w:t>
      </w:r>
    </w:p>
  </w:footnote>
  <w:footnote w:id="67">
    <w:p w14:paraId="5AE2560E" w14:textId="6250E355" w:rsidR="00D80102" w:rsidRPr="00AF1182" w:rsidRDefault="00D80102" w:rsidP="006759A6">
      <w:pPr>
        <w:pStyle w:val="FootnoteText"/>
      </w:pPr>
      <w:r w:rsidRPr="00AF1182">
        <w:rPr>
          <w:rStyle w:val="FootnoteReference"/>
          <w:sz w:val="16"/>
        </w:rPr>
        <w:footnoteRef/>
      </w:r>
      <w:r w:rsidRPr="00AF1182">
        <w:t xml:space="preserve"> Roads to Recovery</w:t>
      </w:r>
      <w:r>
        <w:t xml:space="preserve"> (</w:t>
      </w:r>
      <w:r w:rsidRPr="00AF1182">
        <w:t xml:space="preserve">n </w:t>
      </w:r>
      <w:r>
        <w:t>1)</w:t>
      </w:r>
      <w:r w:rsidRPr="00AF1182">
        <w:t xml:space="preserve"> </w:t>
      </w:r>
      <w:r>
        <w:t>46</w:t>
      </w:r>
      <w:r w:rsidRPr="00AF1182">
        <w:t>.</w:t>
      </w:r>
    </w:p>
  </w:footnote>
  <w:footnote w:id="68">
    <w:p w14:paraId="374E1513" w14:textId="0A436A4E" w:rsidR="00D80102" w:rsidRPr="00AF1182" w:rsidRDefault="00D80102" w:rsidP="00357D4C">
      <w:pPr>
        <w:pStyle w:val="footnotedescription"/>
        <w:spacing w:before="40" w:after="0" w:line="240" w:lineRule="auto"/>
        <w:rPr>
          <w:szCs w:val="16"/>
          <w:lang w:val="en-US"/>
        </w:rPr>
      </w:pPr>
      <w:r w:rsidRPr="00AF1182">
        <w:rPr>
          <w:rStyle w:val="FootnoteReference"/>
          <w:sz w:val="16"/>
          <w:szCs w:val="16"/>
        </w:rPr>
        <w:footnoteRef/>
      </w:r>
      <w:r w:rsidRPr="00AF1182">
        <w:rPr>
          <w:szCs w:val="16"/>
        </w:rPr>
        <w:t xml:space="preserve"> Australian Institute of Criminology, </w:t>
      </w:r>
      <w:proofErr w:type="gramStart"/>
      <w:r w:rsidRPr="00AF1182">
        <w:rPr>
          <w:i/>
          <w:szCs w:val="16"/>
        </w:rPr>
        <w:t>Supported</w:t>
      </w:r>
      <w:proofErr w:type="gramEnd"/>
      <w:r w:rsidRPr="00AF1182">
        <w:rPr>
          <w:i/>
          <w:szCs w:val="16"/>
        </w:rPr>
        <w:t xml:space="preserve"> housing for prisoners returning to the community: A review of the literature</w:t>
      </w:r>
      <w:r w:rsidRPr="00AF1182">
        <w:rPr>
          <w:szCs w:val="16"/>
        </w:rPr>
        <w:t xml:space="preserve"> (</w:t>
      </w:r>
      <w:r>
        <w:rPr>
          <w:szCs w:val="16"/>
        </w:rPr>
        <w:t xml:space="preserve">Research Report, No 7, </w:t>
      </w:r>
      <w:r w:rsidRPr="00AF1182">
        <w:rPr>
          <w:szCs w:val="16"/>
        </w:rPr>
        <w:t>2018)</w:t>
      </w:r>
      <w:r>
        <w:rPr>
          <w:szCs w:val="16"/>
        </w:rPr>
        <w:t xml:space="preserve"> v.</w:t>
      </w:r>
      <w:r w:rsidRPr="00AF1182">
        <w:rPr>
          <w:szCs w:val="16"/>
        </w:rPr>
        <w:t xml:space="preserve"> </w:t>
      </w:r>
    </w:p>
  </w:footnote>
  <w:footnote w:id="69">
    <w:p w14:paraId="12E0A992" w14:textId="77777777" w:rsidR="00D80102" w:rsidRPr="00AF1182" w:rsidRDefault="00D80102" w:rsidP="00B835B4">
      <w:pPr>
        <w:pStyle w:val="FootnoteText"/>
      </w:pPr>
      <w:r w:rsidRPr="00AF1182">
        <w:rPr>
          <w:rStyle w:val="FootnoteReference"/>
          <w:sz w:val="16"/>
        </w:rPr>
        <w:footnoteRef/>
      </w:r>
      <w:r w:rsidRPr="00AF1182">
        <w:t xml:space="preserve"> See Melbourne City Mission, </w:t>
      </w:r>
      <w:r w:rsidRPr="00AF1182">
        <w:rPr>
          <w:i/>
        </w:rPr>
        <w:t>The Atrium Housing and Support Program</w:t>
      </w:r>
      <w:r w:rsidRPr="00AF1182">
        <w:t xml:space="preserve"> </w:t>
      </w:r>
      <w:r>
        <w:t xml:space="preserve">(Web Page) </w:t>
      </w:r>
      <w:r w:rsidRPr="00AF1182">
        <w:t>&lt;</w:t>
      </w:r>
      <w:hyperlink r:id="rId17" w:history="1">
        <w:r w:rsidRPr="00AF1182">
          <w:rPr>
            <w:rStyle w:val="Hyperlink"/>
          </w:rPr>
          <w:t>https://www.mcm.org.au/justice/the-atrium-housing-and-support-program</w:t>
        </w:r>
      </w:hyperlink>
      <w:r w:rsidRPr="00AF1182">
        <w:t>&gt;.</w:t>
      </w:r>
    </w:p>
  </w:footnote>
  <w:footnote w:id="70">
    <w:p w14:paraId="0DD39A33" w14:textId="7E7F507C" w:rsidR="00D80102" w:rsidRPr="00AF1182" w:rsidRDefault="00D80102" w:rsidP="006759A6">
      <w:pPr>
        <w:pStyle w:val="FootnoteText"/>
      </w:pPr>
      <w:r w:rsidRPr="00AF1182">
        <w:rPr>
          <w:rStyle w:val="FootnoteReference"/>
          <w:sz w:val="16"/>
        </w:rPr>
        <w:footnoteRef/>
      </w:r>
      <w:r w:rsidRPr="00AF1182">
        <w:t xml:space="preserve"> </w:t>
      </w:r>
      <w:r w:rsidRPr="00AF1182">
        <w:rPr>
          <w:rStyle w:val="FootnoteReference"/>
          <w:sz w:val="16"/>
        </w:rPr>
        <w:footnoteRef/>
      </w:r>
      <w:r w:rsidRPr="00AF1182">
        <w:t xml:space="preserve"> World Health Organisation, </w:t>
      </w:r>
      <w:r w:rsidRPr="00AF1182">
        <w:rPr>
          <w:i/>
        </w:rPr>
        <w:t>Gender disparities in mental health</w:t>
      </w:r>
      <w:r>
        <w:t xml:space="preserve"> (Report, August 2009)</w:t>
      </w:r>
      <w:r w:rsidRPr="00AF1182">
        <w:t xml:space="preserve"> 3 &lt;</w:t>
      </w:r>
      <w:hyperlink r:id="rId18" w:history="1">
        <w:r w:rsidRPr="00AF1182">
          <w:rPr>
            <w:rStyle w:val="Hyperlink"/>
          </w:rPr>
          <w:t>https://www.who.int/mental_health/media/en/242.pdf?ua=1</w:t>
        </w:r>
      </w:hyperlink>
      <w:r w:rsidRPr="00AF1182">
        <w:t>&gt;</w:t>
      </w:r>
      <w:r>
        <w:t>.</w:t>
      </w:r>
    </w:p>
  </w:footnote>
  <w:footnote w:id="71">
    <w:p w14:paraId="0877C123" w14:textId="77777777" w:rsidR="00D80102" w:rsidRPr="00AF1182" w:rsidRDefault="00D80102" w:rsidP="00151CD7">
      <w:pPr>
        <w:pStyle w:val="FootnoteText"/>
      </w:pPr>
      <w:r w:rsidRPr="00AF1182">
        <w:rPr>
          <w:rStyle w:val="FootnoteReference"/>
          <w:sz w:val="16"/>
        </w:rPr>
        <w:footnoteRef/>
      </w:r>
      <w:r w:rsidRPr="00AF1182">
        <w:t xml:space="preserve"> </w:t>
      </w:r>
      <w:r>
        <w:t xml:space="preserve">Victoria Legal Aid, </w:t>
      </w:r>
      <w:r>
        <w:rPr>
          <w:i/>
          <w:iCs/>
        </w:rPr>
        <w:t xml:space="preserve">It starts with a home: Ten legal issues that cause – or are caused by – homelessness in Victoria </w:t>
      </w:r>
      <w:r>
        <w:t>(Submission to the Victorian Homelessness Inquiry, March 2020)  &lt;</w:t>
      </w:r>
      <w:hyperlink r:id="rId19" w:anchor="it-starts-in-the-home" w:history="1">
        <w:r w:rsidRPr="000678D3">
          <w:rPr>
            <w:rStyle w:val="Hyperlink"/>
          </w:rPr>
          <w:t>https:</w:t>
        </w:r>
        <w:r w:rsidRPr="00661825">
          <w:rPr>
            <w:rStyle w:val="Hyperlink"/>
          </w:rPr>
          <w:t>/</w:t>
        </w:r>
        <w:r w:rsidRPr="00845DCC">
          <w:rPr>
            <w:rStyle w:val="Hyperlink"/>
          </w:rPr>
          <w:t>/www.legalaid.vic.gov.au/about-us/strategic-advocacy-and-law-reform/other-activities#it-star</w:t>
        </w:r>
        <w:r w:rsidRPr="00E77C6A">
          <w:rPr>
            <w:rStyle w:val="Hyperlink"/>
          </w:rPr>
          <w:t>ts-in-the-home</w:t>
        </w:r>
      </w:hyperlink>
      <w:r>
        <w:t>&gt;</w:t>
      </w:r>
    </w:p>
  </w:footnote>
  <w:footnote w:id="72">
    <w:p w14:paraId="09BF332C" w14:textId="50986657" w:rsidR="00D80102" w:rsidRPr="00AF1182" w:rsidRDefault="00D80102" w:rsidP="006759A6">
      <w:pPr>
        <w:pStyle w:val="FootnoteText"/>
      </w:pPr>
      <w:r w:rsidRPr="00AF1182">
        <w:rPr>
          <w:rStyle w:val="FootnoteReference"/>
          <w:sz w:val="16"/>
        </w:rPr>
        <w:footnoteRef/>
      </w:r>
      <w:r w:rsidRPr="00AF1182">
        <w:t xml:space="preserve"> Edwina Light, ‘Rates of use of community treatment orders in Australia’</w:t>
      </w:r>
      <w:r>
        <w:t xml:space="preserve"> (2019)</w:t>
      </w:r>
      <w:r w:rsidRPr="00AF1182">
        <w:t xml:space="preserve"> 64 </w:t>
      </w:r>
      <w:r w:rsidRPr="00AF1182">
        <w:rPr>
          <w:i/>
        </w:rPr>
        <w:t>International Journal of Law and Psychiatry</w:t>
      </w:r>
      <w:r w:rsidRPr="00AF1182">
        <w:t xml:space="preserve"> 83</w:t>
      </w:r>
      <w:r>
        <w:t>.</w:t>
      </w:r>
      <w:r w:rsidRPr="00AF1182">
        <w:t xml:space="preserve"> </w:t>
      </w:r>
      <w:r>
        <w:t>Although Victoria’s rate of CTOs per 100,000 population fell from 98.8 in 2012 to 76.4 in 2016–17, it is still higher than all other states and territories for which data was reported.</w:t>
      </w:r>
    </w:p>
  </w:footnote>
  <w:footnote w:id="73">
    <w:p w14:paraId="34148DBC" w14:textId="77777777" w:rsidR="00D80102" w:rsidRDefault="00D80102" w:rsidP="008648BB">
      <w:pPr>
        <w:pStyle w:val="FootnoteText"/>
      </w:pPr>
      <w:r>
        <w:rPr>
          <w:rStyle w:val="FootnoteReference"/>
        </w:rPr>
        <w:footnoteRef/>
      </w:r>
      <w:r>
        <w:t xml:space="preserve"> Roads to Recovery (n 1) 14.</w:t>
      </w:r>
    </w:p>
  </w:footnote>
  <w:footnote w:id="74">
    <w:p w14:paraId="1266A1B9" w14:textId="0BA1BDFA" w:rsidR="00D80102" w:rsidRDefault="00D80102">
      <w:pPr>
        <w:pStyle w:val="FootnoteText"/>
      </w:pPr>
      <w:r>
        <w:rPr>
          <w:rStyle w:val="FootnoteReference"/>
        </w:rPr>
        <w:footnoteRef/>
      </w:r>
      <w:r>
        <w:t xml:space="preserve"> </w:t>
      </w:r>
      <w:r>
        <w:rPr>
          <w:i/>
        </w:rPr>
        <w:t xml:space="preserve">PBU v Mental Health Tribunal </w:t>
      </w:r>
      <w:r>
        <w:t>[2018] VSC 564 (1 November 2018 [173], [199].</w:t>
      </w:r>
    </w:p>
  </w:footnote>
  <w:footnote w:id="75">
    <w:p w14:paraId="18BE931D" w14:textId="429C6FDD" w:rsidR="00D80102" w:rsidRPr="001208F1" w:rsidRDefault="00D80102">
      <w:pPr>
        <w:pStyle w:val="FootnoteText"/>
      </w:pPr>
      <w:r>
        <w:rPr>
          <w:rStyle w:val="FootnoteReference"/>
        </w:rPr>
        <w:footnoteRef/>
      </w:r>
      <w:r>
        <w:t xml:space="preserve"> See: </w:t>
      </w:r>
      <w:r>
        <w:rPr>
          <w:i/>
          <w:iCs/>
        </w:rPr>
        <w:t>Guardianship and Administration Act 2019</w:t>
      </w:r>
      <w:r>
        <w:t xml:space="preserve"> (Vic) and</w:t>
      </w:r>
      <w:r>
        <w:rPr>
          <w:i/>
          <w:iCs/>
        </w:rPr>
        <w:t xml:space="preserve"> Medical Treatment Planning and Decisions Act 2016</w:t>
      </w:r>
      <w:r>
        <w:t xml:space="preserve"> (Vic).</w:t>
      </w:r>
    </w:p>
  </w:footnote>
  <w:footnote w:id="76">
    <w:p w14:paraId="7F4DE373" w14:textId="77777777" w:rsidR="00D80102" w:rsidRDefault="00D80102" w:rsidP="00270984">
      <w:pPr>
        <w:pStyle w:val="FootnoteText"/>
      </w:pPr>
      <w:r>
        <w:rPr>
          <w:rStyle w:val="FootnoteReference"/>
        </w:rPr>
        <w:footnoteRef/>
      </w:r>
      <w:r>
        <w:t xml:space="preserve"> The Royal Australian &amp; New Zealand College of Psychiatrist, </w:t>
      </w:r>
      <w:r>
        <w:rPr>
          <w:i/>
          <w:iCs/>
        </w:rPr>
        <w:t>Powers and duties of psychiatrist in Australia and New Zealand Mental Health Acts: a literature review</w:t>
      </w:r>
      <w:r>
        <w:t xml:space="preserve"> (August 2017) 23 &lt;</w:t>
      </w:r>
      <w:hyperlink r:id="rId20" w:history="1">
        <w:r w:rsidRPr="002E5DBD">
          <w:rPr>
            <w:rStyle w:val="Hyperlink"/>
          </w:rPr>
          <w:t>https://www.ranzcp.org/files/resources/college_statements/mental-health-legislation-tables/powers-and-duties-of-psychiatrists-in-australian-a.aspx</w:t>
        </w:r>
      </w:hyperlink>
      <w:r>
        <w:t>&gt;.</w:t>
      </w:r>
    </w:p>
  </w:footnote>
  <w:footnote w:id="77">
    <w:p w14:paraId="1D565040" w14:textId="49D720CA" w:rsidR="00D80102" w:rsidRPr="003509EA" w:rsidRDefault="00D80102">
      <w:pPr>
        <w:pStyle w:val="FootnoteText"/>
      </w:pPr>
      <w:r>
        <w:rPr>
          <w:rStyle w:val="FootnoteReference"/>
        </w:rPr>
        <w:footnoteRef/>
      </w:r>
      <w:r>
        <w:t xml:space="preserve"> The requirement that the treatment decision be the least restrictive form of treatment should be retained. </w:t>
      </w:r>
      <w:r>
        <w:rPr>
          <w:i/>
          <w:iCs/>
        </w:rPr>
        <w:t>Mental Health Act 2014</w:t>
      </w:r>
      <w:r>
        <w:t xml:space="preserve"> (Vic) s 71(3).</w:t>
      </w:r>
    </w:p>
  </w:footnote>
  <w:footnote w:id="78">
    <w:p w14:paraId="5E294C3E" w14:textId="71FD91AA" w:rsidR="00D80102" w:rsidRDefault="00D80102">
      <w:pPr>
        <w:pStyle w:val="FootnoteText"/>
      </w:pPr>
      <w:r>
        <w:rPr>
          <w:rStyle w:val="FootnoteReference"/>
        </w:rPr>
        <w:footnoteRef/>
      </w:r>
      <w:r>
        <w:t xml:space="preserve"> Currently substituted decisions can be made regardless of </w:t>
      </w:r>
      <w:proofErr w:type="gramStart"/>
      <w:r>
        <w:t>whether or not</w:t>
      </w:r>
      <w:proofErr w:type="gramEnd"/>
      <w:r>
        <w:t xml:space="preserve"> the person has decision-making capacity. This reform should happen in tandem with Recommendation 19: Allow consumers with decision-making capacity to make treatment decisions, and should therefore only apply to consumers who lack decision-making capacity.</w:t>
      </w:r>
    </w:p>
  </w:footnote>
  <w:footnote w:id="79">
    <w:p w14:paraId="3899A726" w14:textId="77C9CF65" w:rsidR="00D80102" w:rsidRDefault="00D80102" w:rsidP="00667CB1">
      <w:pPr>
        <w:pStyle w:val="FootnoteText"/>
      </w:pPr>
      <w:r>
        <w:rPr>
          <w:rStyle w:val="FootnoteReference"/>
        </w:rPr>
        <w:footnoteRef/>
      </w:r>
      <w:r>
        <w:t xml:space="preserve"> </w:t>
      </w:r>
      <w:r>
        <w:rPr>
          <w:i/>
          <w:iCs/>
        </w:rPr>
        <w:t>Guardianship and Administration Act 2019</w:t>
      </w:r>
      <w:r>
        <w:t xml:space="preserve"> (Vic).</w:t>
      </w:r>
    </w:p>
  </w:footnote>
  <w:footnote w:id="80">
    <w:p w14:paraId="3F8AA031" w14:textId="14264CAE" w:rsidR="00D80102" w:rsidRDefault="00D80102">
      <w:pPr>
        <w:pStyle w:val="FootnoteText"/>
      </w:pPr>
      <w:r>
        <w:rPr>
          <w:rStyle w:val="FootnoteReference"/>
        </w:rPr>
        <w:footnoteRef/>
      </w:r>
      <w:r>
        <w:t xml:space="preserve"> </w:t>
      </w:r>
      <w:r>
        <w:rPr>
          <w:i/>
          <w:iCs/>
        </w:rPr>
        <w:t>Guardianship and Administration Act 2019</w:t>
      </w:r>
      <w:r>
        <w:t xml:space="preserve"> (Vic) s 9(1).</w:t>
      </w:r>
    </w:p>
  </w:footnote>
  <w:footnote w:id="81">
    <w:p w14:paraId="568276AB" w14:textId="77777777" w:rsidR="00D80102" w:rsidRDefault="00D80102" w:rsidP="00667CB1">
      <w:pPr>
        <w:pStyle w:val="FootnoteText"/>
      </w:pPr>
      <w:r>
        <w:rPr>
          <w:rStyle w:val="FootnoteReference"/>
        </w:rPr>
        <w:footnoteRef/>
      </w:r>
      <w:r>
        <w:t xml:space="preserve"> </w:t>
      </w:r>
      <w:r w:rsidRPr="00E40F51">
        <w:t>This could be achieved through amending sections 71, 93 and 96 of the Mental Health Act.</w:t>
      </w:r>
    </w:p>
  </w:footnote>
  <w:footnote w:id="82">
    <w:p w14:paraId="1909CBBB" w14:textId="77777777" w:rsidR="00D80102" w:rsidRPr="00EF7737" w:rsidRDefault="00D80102" w:rsidP="009C39AB">
      <w:pPr>
        <w:pStyle w:val="FootnoteText"/>
      </w:pPr>
      <w:r w:rsidRPr="00AF1182">
        <w:rPr>
          <w:rStyle w:val="FootnoteReference"/>
          <w:sz w:val="16"/>
        </w:rPr>
        <w:footnoteRef/>
      </w:r>
      <w:r>
        <w:t xml:space="preserve"> </w:t>
      </w:r>
      <w:r w:rsidRPr="00A96CAF">
        <w:rPr>
          <w:i/>
        </w:rPr>
        <w:t>Mental Health Act 201</w:t>
      </w:r>
      <w:r w:rsidRPr="00143DA8">
        <w:rPr>
          <w:i/>
        </w:rPr>
        <w:t>4</w:t>
      </w:r>
      <w:r>
        <w:t xml:space="preserve"> (Vic) s 10(b).</w:t>
      </w:r>
    </w:p>
  </w:footnote>
  <w:footnote w:id="83">
    <w:p w14:paraId="66918BA3" w14:textId="77777777" w:rsidR="00D80102" w:rsidRPr="00AF1182" w:rsidRDefault="00D80102" w:rsidP="006759A6">
      <w:pPr>
        <w:pStyle w:val="FootnoteText"/>
      </w:pPr>
      <w:r w:rsidRPr="00AF1182">
        <w:rPr>
          <w:rStyle w:val="FootnoteReference"/>
          <w:sz w:val="16"/>
        </w:rPr>
        <w:footnoteRef/>
      </w:r>
      <w:r w:rsidRPr="00AF1182">
        <w:t xml:space="preserve"> </w:t>
      </w:r>
      <w:r w:rsidRPr="00A96CAF">
        <w:rPr>
          <w:i/>
        </w:rPr>
        <w:t>Mental Health Act 2014</w:t>
      </w:r>
      <w:r w:rsidRPr="00AF1182">
        <w:t xml:space="preserve"> (Vic) s 55(3).</w:t>
      </w:r>
    </w:p>
  </w:footnote>
  <w:footnote w:id="84">
    <w:p w14:paraId="0D184F9F" w14:textId="3CF84FB4" w:rsidR="00D80102" w:rsidRPr="006204E4" w:rsidRDefault="00D80102">
      <w:pPr>
        <w:pStyle w:val="FootnoteText"/>
      </w:pPr>
      <w:r>
        <w:rPr>
          <w:rStyle w:val="FootnoteReference"/>
        </w:rPr>
        <w:footnoteRef/>
      </w:r>
      <w:r>
        <w:t xml:space="preserve"> 66 per cent of Inpatient Treatment Orders were of a duration of 21 – 26 weeks of a maximum 26 weeks. Mental Health Tribunal. </w:t>
      </w:r>
      <w:r w:rsidRPr="00B34C5C">
        <w:rPr>
          <w:i/>
        </w:rPr>
        <w:t>Annual Report 2018 – 2019</w:t>
      </w:r>
      <w:r w:rsidRPr="004461C8">
        <w:t xml:space="preserve"> </w:t>
      </w:r>
      <w:r w:rsidRPr="006F2780">
        <w:t xml:space="preserve">(Report, 6 August 2019) </w:t>
      </w:r>
      <w:r w:rsidRPr="002A7B65">
        <w:t>18</w:t>
      </w:r>
      <w:r w:rsidRPr="006F2780">
        <w:t xml:space="preserve"> &lt;</w:t>
      </w:r>
      <w:r w:rsidRPr="002A7B65">
        <w:t xml:space="preserve"> </w:t>
      </w:r>
      <w:r w:rsidRPr="00920191">
        <w:t>https://www.mht.vic.gov.au/sites/default/files/documents/201910/MHT-2018-2019-Annual-Report.pdf</w:t>
      </w:r>
      <w:r w:rsidRPr="00B34C5C">
        <w:t>&gt;</w:t>
      </w:r>
      <w:r w:rsidRPr="004461C8">
        <w:t>.</w:t>
      </w:r>
    </w:p>
  </w:footnote>
  <w:footnote w:id="85">
    <w:p w14:paraId="78A6C8F9" w14:textId="77777777" w:rsidR="00D80102" w:rsidRPr="00AF1182" w:rsidRDefault="00D80102" w:rsidP="006759A6">
      <w:pPr>
        <w:pStyle w:val="FootnoteText"/>
      </w:pPr>
      <w:r w:rsidRPr="00AF1182">
        <w:rPr>
          <w:rStyle w:val="FootnoteReference"/>
          <w:sz w:val="16"/>
        </w:rPr>
        <w:footnoteRef/>
      </w:r>
      <w:r w:rsidRPr="00AF1182">
        <w:t xml:space="preserve"> </w:t>
      </w:r>
      <w:r w:rsidRPr="00AF1182">
        <w:rPr>
          <w:i/>
        </w:rPr>
        <w:t>Mental Health Act 1986</w:t>
      </w:r>
      <w:r w:rsidRPr="00AF1182">
        <w:t xml:space="preserve"> (Vic) s 36(4) (repealed). </w:t>
      </w:r>
    </w:p>
  </w:footnote>
  <w:footnote w:id="86">
    <w:p w14:paraId="3EF09EBE" w14:textId="270ADB12" w:rsidR="00D80102" w:rsidRPr="00314F23" w:rsidRDefault="00D80102">
      <w:pPr>
        <w:pStyle w:val="FootnoteText"/>
      </w:pPr>
      <w:r>
        <w:rPr>
          <w:rStyle w:val="FootnoteReference"/>
        </w:rPr>
        <w:footnoteRef/>
      </w:r>
      <w:r>
        <w:t xml:space="preserve"> For example, decisions to place a person on a Temporary Treatment Order, to vary a Community Treatment Order to an Inpatient Treatment Order, to transfer between Designated Mental Health Services, or to give compulsory ECT are reviewable by the Mental Health Tribunal. Further, if a person has obtained a second psychiatric opinion and their psychiatrist has decided to adopt none of only some of the recommended changes, the person may apply to the chief psychiatrist to review their treatment (</w:t>
      </w:r>
      <w:r>
        <w:rPr>
          <w:i/>
          <w:iCs/>
        </w:rPr>
        <w:t>Mental Health Act 2014</w:t>
      </w:r>
      <w:r>
        <w:t xml:space="preserve"> (Vic) s 87).</w:t>
      </w:r>
    </w:p>
  </w:footnote>
  <w:footnote w:id="87">
    <w:p w14:paraId="68E8FC09" w14:textId="6952A371" w:rsidR="00D80102" w:rsidRPr="002F73E9" w:rsidRDefault="00D80102">
      <w:pPr>
        <w:pStyle w:val="FootnoteText"/>
      </w:pPr>
      <w:r w:rsidRPr="00AF1182">
        <w:rPr>
          <w:rStyle w:val="FootnoteReference"/>
          <w:sz w:val="16"/>
        </w:rPr>
        <w:footnoteRef/>
      </w:r>
      <w:r>
        <w:t xml:space="preserve"> </w:t>
      </w:r>
      <w:r w:rsidRPr="00A96CAF">
        <w:rPr>
          <w:i/>
        </w:rPr>
        <w:t xml:space="preserve">Mental </w:t>
      </w:r>
      <w:r w:rsidRPr="00143DA8">
        <w:rPr>
          <w:i/>
        </w:rPr>
        <w:t>Health Act 2014</w:t>
      </w:r>
      <w:r>
        <w:t xml:space="preserve"> (Vic) s 16.</w:t>
      </w:r>
    </w:p>
  </w:footnote>
  <w:footnote w:id="88">
    <w:p w14:paraId="6406ED56" w14:textId="27DBC926" w:rsidR="00D80102" w:rsidRDefault="00D80102">
      <w:pPr>
        <w:pStyle w:val="FootnoteText"/>
      </w:pPr>
      <w:r w:rsidRPr="00AF1182">
        <w:rPr>
          <w:rStyle w:val="FootnoteReference"/>
          <w:sz w:val="16"/>
        </w:rPr>
        <w:footnoteRef/>
      </w:r>
      <w:r>
        <w:t xml:space="preserve"> Unless the SECU is within a different designated mental health service, in which case a person may seek review of the decision under </w:t>
      </w:r>
      <w:r w:rsidRPr="007F66EE">
        <w:rPr>
          <w:i/>
          <w:iCs/>
        </w:rPr>
        <w:t>Mental Health Act 2014</w:t>
      </w:r>
      <w:r>
        <w:t xml:space="preserve"> (Vic) s 66.</w:t>
      </w:r>
    </w:p>
  </w:footnote>
  <w:footnote w:id="89">
    <w:p w14:paraId="6CB33BAC" w14:textId="6F40C10D" w:rsidR="00D80102" w:rsidRPr="00CE6553" w:rsidRDefault="00D80102">
      <w:pPr>
        <w:pStyle w:val="FootnoteText"/>
      </w:pPr>
      <w:r w:rsidRPr="00AF1182">
        <w:rPr>
          <w:rStyle w:val="FootnoteReference"/>
          <w:sz w:val="16"/>
        </w:rPr>
        <w:footnoteRef/>
      </w:r>
      <w:r>
        <w:t xml:space="preserve"> </w:t>
      </w:r>
      <w:r w:rsidRPr="00A96CAF">
        <w:rPr>
          <w:i/>
        </w:rPr>
        <w:t>Mental Health Act 2014</w:t>
      </w:r>
      <w:r>
        <w:t xml:space="preserve"> (Vic) s 64.</w:t>
      </w:r>
    </w:p>
  </w:footnote>
  <w:footnote w:id="90">
    <w:p w14:paraId="729530EA" w14:textId="42F07F10" w:rsidR="00D80102" w:rsidRPr="00AF1182" w:rsidRDefault="00D80102" w:rsidP="00357D4C">
      <w:pPr>
        <w:spacing w:before="40" w:after="0" w:line="240" w:lineRule="auto"/>
        <w:rPr>
          <w:rFonts w:cs="Arial"/>
          <w:sz w:val="16"/>
          <w:szCs w:val="16"/>
        </w:rPr>
      </w:pPr>
      <w:r w:rsidRPr="00AF1182">
        <w:rPr>
          <w:rStyle w:val="FootnoteReference"/>
          <w:rFonts w:cs="Arial"/>
          <w:sz w:val="16"/>
          <w:szCs w:val="16"/>
        </w:rPr>
        <w:footnoteRef/>
      </w:r>
      <w:r w:rsidRPr="00AF1182">
        <w:rPr>
          <w:rFonts w:cs="Arial"/>
          <w:sz w:val="16"/>
          <w:szCs w:val="16"/>
        </w:rPr>
        <w:t xml:space="preserve"> </w:t>
      </w:r>
      <w:r>
        <w:rPr>
          <w:rFonts w:cs="Arial"/>
          <w:sz w:val="16"/>
          <w:szCs w:val="16"/>
        </w:rPr>
        <w:t xml:space="preserve">Victoria, </w:t>
      </w:r>
      <w:r>
        <w:rPr>
          <w:rFonts w:cs="Arial"/>
          <w:i/>
          <w:iCs/>
          <w:sz w:val="16"/>
          <w:szCs w:val="16"/>
        </w:rPr>
        <w:t xml:space="preserve">Parliamentary Debates, </w:t>
      </w:r>
      <w:r w:rsidRPr="006F2780">
        <w:rPr>
          <w:sz w:val="16"/>
          <w:szCs w:val="16"/>
        </w:rPr>
        <w:t>Legislative Assembly</w:t>
      </w:r>
      <w:r>
        <w:rPr>
          <w:rFonts w:cs="Arial"/>
          <w:sz w:val="16"/>
          <w:szCs w:val="16"/>
        </w:rPr>
        <w:t>, 20 February 2014, 476 (</w:t>
      </w:r>
      <w:r>
        <w:rPr>
          <w:sz w:val="16"/>
          <w:szCs w:val="16"/>
        </w:rPr>
        <w:t xml:space="preserve">Michael </w:t>
      </w:r>
      <w:r w:rsidRPr="006F2780">
        <w:rPr>
          <w:sz w:val="16"/>
          <w:szCs w:val="16"/>
        </w:rPr>
        <w:t>Wooldridge</w:t>
      </w:r>
      <w:r>
        <w:rPr>
          <w:sz w:val="16"/>
          <w:szCs w:val="16"/>
        </w:rPr>
        <w:t xml:space="preserve">, </w:t>
      </w:r>
      <w:r w:rsidRPr="006F2780">
        <w:rPr>
          <w:sz w:val="16"/>
          <w:szCs w:val="16"/>
        </w:rPr>
        <w:t>then Minister for Mental Health)</w:t>
      </w:r>
      <w:r>
        <w:rPr>
          <w:sz w:val="16"/>
          <w:szCs w:val="16"/>
        </w:rPr>
        <w:t xml:space="preserve"> </w:t>
      </w:r>
      <w:r w:rsidRPr="003270FA">
        <w:rPr>
          <w:sz w:val="16"/>
          <w:szCs w:val="16"/>
        </w:rPr>
        <w:t>(</w:t>
      </w:r>
      <w:r w:rsidRPr="003270FA">
        <w:rPr>
          <w:b/>
          <w:sz w:val="16"/>
          <w:szCs w:val="16"/>
        </w:rPr>
        <w:t>Minister Wooldridge, Second Reading Speech)</w:t>
      </w:r>
      <w:r>
        <w:rPr>
          <w:sz w:val="16"/>
          <w:szCs w:val="16"/>
        </w:rPr>
        <w:t xml:space="preserve">. </w:t>
      </w:r>
    </w:p>
  </w:footnote>
  <w:footnote w:id="91">
    <w:p w14:paraId="671C29A9" w14:textId="77777777" w:rsidR="00D80102" w:rsidRPr="00AF1182" w:rsidRDefault="00D80102" w:rsidP="00C109F7">
      <w:pPr>
        <w:pStyle w:val="FootnoteText"/>
      </w:pPr>
      <w:r w:rsidRPr="00AF1182">
        <w:rPr>
          <w:rStyle w:val="FootnoteReference"/>
          <w:sz w:val="16"/>
        </w:rPr>
        <w:footnoteRef/>
      </w:r>
      <w:r w:rsidRPr="00AF1182">
        <w:t xml:space="preserve"> Of 6,794 hearings in 2018 – 2019, 823 were initiated by a patient’s application for revocation of their order. During that period 27 applications were made to VCAT for a review of a Tribunal decision, 11 of which were subsequently withdrawn</w:t>
      </w:r>
      <w:r>
        <w:t>:</w:t>
      </w:r>
      <w:r w:rsidRPr="00AF1182">
        <w:t xml:space="preserve"> Mental Health Tribunal, </w:t>
      </w:r>
      <w:r w:rsidRPr="00AF1182">
        <w:rPr>
          <w:i/>
        </w:rPr>
        <w:t>Annual Report 2018 – 2019</w:t>
      </w:r>
      <w:r>
        <w:rPr>
          <w:i/>
        </w:rPr>
        <w:t xml:space="preserve"> </w:t>
      </w:r>
      <w:r>
        <w:rPr>
          <w:iCs/>
        </w:rPr>
        <w:t>(Report, 6 August 2019) &lt;</w:t>
      </w:r>
      <w:hyperlink r:id="rId21" w:history="1">
        <w:r w:rsidRPr="00003362">
          <w:rPr>
            <w:rStyle w:val="Hyperlink"/>
            <w:iCs/>
          </w:rPr>
          <w:t>https://www.mht.vic.gov.au/sites/default/files/documents/20</w:t>
        </w:r>
        <w:r w:rsidRPr="004E156B">
          <w:rPr>
            <w:rStyle w:val="Hyperlink"/>
          </w:rPr>
          <w:t>1910/MHT-2018-2019-Annual-Report.pdf</w:t>
        </w:r>
      </w:hyperlink>
      <w:r>
        <w:rPr>
          <w:iCs/>
        </w:rPr>
        <w:t xml:space="preserve">&gt;. </w:t>
      </w:r>
    </w:p>
  </w:footnote>
  <w:footnote w:id="92">
    <w:p w14:paraId="3E772125" w14:textId="77777777" w:rsidR="00D80102" w:rsidRPr="00AF1182" w:rsidRDefault="00D80102" w:rsidP="00C109F7">
      <w:pPr>
        <w:pStyle w:val="FootnoteText"/>
      </w:pPr>
      <w:r w:rsidRPr="00AF1182">
        <w:rPr>
          <w:rStyle w:val="FootnoteReference"/>
          <w:sz w:val="16"/>
        </w:rPr>
        <w:footnoteRef/>
      </w:r>
      <w:r w:rsidRPr="00AF1182">
        <w:t xml:space="preserve"> </w:t>
      </w:r>
      <w:r w:rsidRPr="00DC0706">
        <w:t>Improvements to the UK Mental Health Tribunal, including becoming more rigorous and rights-focused,</w:t>
      </w:r>
      <w:r>
        <w:t xml:space="preserve"> </w:t>
      </w:r>
      <w:r w:rsidRPr="00DC0706">
        <w:t>have been attributed in part to its move out of the Department of Health into the Ministry of Justice</w:t>
      </w:r>
      <w:r>
        <w:t xml:space="preserve">. See: </w:t>
      </w:r>
      <w:r w:rsidRPr="00AF1182">
        <w:t xml:space="preserve">Eleanore Fritze, </w:t>
      </w:r>
      <w:r w:rsidRPr="006F2780">
        <w:rPr>
          <w:i/>
          <w:lang w:val="en-US"/>
        </w:rPr>
        <w:t>Shining a Light Behind Closed Doors</w:t>
      </w:r>
      <w:r w:rsidRPr="006F2780">
        <w:rPr>
          <w:i/>
          <w:iCs/>
          <w:lang w:val="en-US"/>
        </w:rPr>
        <w:t>:</w:t>
      </w:r>
      <w:r w:rsidRPr="006F2780">
        <w:rPr>
          <w:i/>
          <w:lang w:val="en-US"/>
        </w:rPr>
        <w:t xml:space="preserve"> Report of the Jack Brockhoff Foundation Churchill Fellowship to better protect the human rights and dignity of people with disabilities, detained in closed environments for compulsory treatment, through the use of innovative legal services</w:t>
      </w:r>
      <w:r w:rsidRPr="00AF1182">
        <w:rPr>
          <w:lang w:val="en-US"/>
        </w:rPr>
        <w:t xml:space="preserve"> (</w:t>
      </w:r>
      <w:r>
        <w:rPr>
          <w:lang w:val="en-US"/>
        </w:rPr>
        <w:t xml:space="preserve">Report, </w:t>
      </w:r>
      <w:r w:rsidRPr="00AF1182">
        <w:rPr>
          <w:lang w:val="en-US"/>
        </w:rPr>
        <w:t>December 2015) 58–9</w:t>
      </w:r>
      <w:r>
        <w:rPr>
          <w:lang w:val="en-US"/>
        </w:rPr>
        <w:t xml:space="preserve"> &lt;</w:t>
      </w:r>
      <w:r w:rsidRPr="00CA59CB">
        <w:rPr>
          <w:lang w:val="en-US"/>
        </w:rPr>
        <w:t>https://www.churchilltrust.com.au/media/fellows/Fritze_E_Shining_a_light_behind_closed_doors.pdf</w:t>
      </w:r>
      <w:r>
        <w:rPr>
          <w:lang w:val="en-US"/>
        </w:rPr>
        <w:t xml:space="preserve">&gt;. </w:t>
      </w:r>
    </w:p>
  </w:footnote>
  <w:footnote w:id="93">
    <w:p w14:paraId="76746463" w14:textId="6092EC2A" w:rsidR="00D80102" w:rsidRDefault="00D80102">
      <w:pPr>
        <w:pStyle w:val="FootnoteText"/>
      </w:pPr>
      <w:r>
        <w:rPr>
          <w:rStyle w:val="FootnoteReference"/>
        </w:rPr>
        <w:footnoteRef/>
      </w:r>
      <w:r>
        <w:t xml:space="preserve"> </w:t>
      </w:r>
      <w:r w:rsidRPr="00DA5ED3">
        <w:t xml:space="preserve">Victorian Government, </w:t>
      </w:r>
      <w:r w:rsidRPr="00651DD8">
        <w:rPr>
          <w:i/>
        </w:rPr>
        <w:t xml:space="preserve">DataVic </w:t>
      </w:r>
      <w:r w:rsidRPr="00DA5ED3">
        <w:rPr>
          <w:i/>
        </w:rPr>
        <w:t>A</w:t>
      </w:r>
      <w:r w:rsidRPr="00651DD8">
        <w:rPr>
          <w:i/>
        </w:rPr>
        <w:t>ccess</w:t>
      </w:r>
      <w:r w:rsidRPr="00DA5ED3">
        <w:rPr>
          <w:i/>
        </w:rPr>
        <w:t xml:space="preserve"> Policy</w:t>
      </w:r>
      <w:r w:rsidRPr="00DA5ED3">
        <w:t xml:space="preserve"> </w:t>
      </w:r>
      <w:r w:rsidRPr="00651DD8">
        <w:t xml:space="preserve">(Web Page, 20 November 2019) </w:t>
      </w:r>
      <w:r w:rsidRPr="00DA5ED3">
        <w:t>&lt;</w:t>
      </w:r>
      <w:hyperlink r:id="rId22" w:history="1">
        <w:r w:rsidRPr="00DA5ED3">
          <w:rPr>
            <w:rStyle w:val="Hyperlink"/>
          </w:rPr>
          <w:t>https://www.data.vic.gov.au/datavic-access-policy</w:t>
        </w:r>
      </w:hyperlink>
      <w:r>
        <w:t>&gt;.</w:t>
      </w:r>
    </w:p>
  </w:footnote>
  <w:footnote w:id="94">
    <w:p w14:paraId="3F74592C" w14:textId="2B5068C5" w:rsidR="00D80102" w:rsidRDefault="00D80102" w:rsidP="00CA7BC3">
      <w:pPr>
        <w:pStyle w:val="FootnoteText"/>
      </w:pPr>
      <w:r>
        <w:rPr>
          <w:rStyle w:val="FootnoteReference"/>
        </w:rPr>
        <w:footnoteRef/>
      </w:r>
      <w:r>
        <w:t xml:space="preserve"> See also section 3.2.</w:t>
      </w:r>
    </w:p>
  </w:footnote>
  <w:footnote w:id="95">
    <w:p w14:paraId="7FF6611F" w14:textId="77777777" w:rsidR="00D80102" w:rsidRDefault="00D80102" w:rsidP="00CA7BC3">
      <w:pPr>
        <w:pStyle w:val="FootnoteText"/>
      </w:pPr>
      <w:r w:rsidRPr="00AF1182">
        <w:rPr>
          <w:rStyle w:val="FootnoteReference"/>
          <w:sz w:val="16"/>
        </w:rPr>
        <w:footnoteRef/>
      </w:r>
      <w:r>
        <w:t xml:space="preserve"> Victorian Clinical Council, </w:t>
      </w:r>
      <w:r>
        <w:rPr>
          <w:i/>
          <w:iCs/>
        </w:rPr>
        <w:t xml:space="preserve">Diversity and cultural safety advice </w:t>
      </w:r>
      <w:r>
        <w:t>(Report, December 2019) 4 &lt;</w:t>
      </w:r>
      <w:hyperlink r:id="rId23" w:history="1">
        <w:r w:rsidRPr="00237976">
          <w:rPr>
            <w:rStyle w:val="Hyperlink"/>
          </w:rPr>
          <w:t>https://www.bettersafercare.vic.gov.au/sites/default/files/2019-12/Victorian%20Clinical%20Council%20-%20Diversity%20and%20cultural%20safety%20advice%202019.pdf</w:t>
        </w:r>
      </w:hyperlink>
      <w:r>
        <w:t>&gt;.</w:t>
      </w:r>
    </w:p>
  </w:footnote>
  <w:footnote w:id="96">
    <w:p w14:paraId="0C277E72" w14:textId="7CC3C89D" w:rsidR="00D80102" w:rsidRDefault="00D80102">
      <w:pPr>
        <w:pStyle w:val="FootnoteText"/>
      </w:pPr>
      <w:r>
        <w:rPr>
          <w:rStyle w:val="FootnoteReference"/>
        </w:rPr>
        <w:footnoteRef/>
      </w:r>
      <w:r>
        <w:t xml:space="preserve"> </w:t>
      </w:r>
      <w:r w:rsidRPr="00651DD8">
        <w:t>See section 1.</w:t>
      </w:r>
    </w:p>
  </w:footnote>
  <w:footnote w:id="97">
    <w:p w14:paraId="2BE20A11" w14:textId="1D5C93D8" w:rsidR="00D80102" w:rsidRPr="00AF1182" w:rsidRDefault="00D80102" w:rsidP="006759A6">
      <w:pPr>
        <w:pStyle w:val="FootnoteText"/>
      </w:pPr>
      <w:r w:rsidRPr="00AF1182">
        <w:rPr>
          <w:rStyle w:val="FootnoteReference"/>
          <w:sz w:val="16"/>
        </w:rPr>
        <w:footnoteRef/>
      </w:r>
      <w:r w:rsidRPr="00AF1182">
        <w:t xml:space="preserve"> </w:t>
      </w:r>
      <w:r>
        <w:t>Department of Health and Human Services</w:t>
      </w:r>
      <w:r w:rsidRPr="006F2780">
        <w:rPr>
          <w:i/>
        </w:rPr>
        <w:t>,</w:t>
      </w:r>
      <w:r>
        <w:t xml:space="preserve"> </w:t>
      </w:r>
      <w:r>
        <w:rPr>
          <w:i/>
          <w:iCs/>
        </w:rPr>
        <w:t xml:space="preserve">Targeting Zero: Supporting the Victorian hospital system to eliminate avoidable harm and strengthen quality of </w:t>
      </w:r>
      <w:r w:rsidRPr="006F2780">
        <w:t>care</w:t>
      </w:r>
      <w:r>
        <w:rPr>
          <w:i/>
          <w:iCs/>
        </w:rPr>
        <w:t xml:space="preserve"> </w:t>
      </w:r>
      <w:r>
        <w:t>(</w:t>
      </w:r>
      <w:r w:rsidRPr="00AF1182">
        <w:t>Report</w:t>
      </w:r>
      <w:r>
        <w:t>, October 2016</w:t>
      </w:r>
      <w:r w:rsidRPr="00003362">
        <w:t>)</w:t>
      </w:r>
      <w:r>
        <w:t xml:space="preserve"> </w:t>
      </w:r>
      <w:r w:rsidRPr="00651DD8">
        <w:t xml:space="preserve">10. </w:t>
      </w:r>
      <w:r>
        <w:t xml:space="preserve"> </w:t>
      </w:r>
    </w:p>
  </w:footnote>
  <w:footnote w:id="98">
    <w:p w14:paraId="1DE95081" w14:textId="4C69D576" w:rsidR="00D80102" w:rsidRDefault="00D80102">
      <w:pPr>
        <w:pStyle w:val="FootnoteText"/>
      </w:pPr>
      <w:r>
        <w:rPr>
          <w:rStyle w:val="FootnoteReference"/>
        </w:rPr>
        <w:footnoteRef/>
      </w:r>
      <w:r>
        <w:t xml:space="preserve"> </w:t>
      </w:r>
      <w:r w:rsidRPr="00651DD8">
        <w:t>Royal Commission Interim Report</w:t>
      </w:r>
      <w:r>
        <w:t xml:space="preserve"> (n 6) 110 – 119.</w:t>
      </w:r>
    </w:p>
  </w:footnote>
  <w:footnote w:id="99">
    <w:p w14:paraId="131EAEB2" w14:textId="562642DB" w:rsidR="00D80102" w:rsidRDefault="00D80102">
      <w:pPr>
        <w:pStyle w:val="FootnoteText"/>
      </w:pPr>
      <w:r>
        <w:rPr>
          <w:rStyle w:val="FootnoteReference"/>
        </w:rPr>
        <w:footnoteRef/>
      </w:r>
      <w:r>
        <w:t xml:space="preserve"> </w:t>
      </w:r>
      <w:r>
        <w:rPr>
          <w:lang w:eastAsia="en-AU"/>
        </w:rPr>
        <w:t>Currently the</w:t>
      </w:r>
      <w:r w:rsidRPr="00CE600E">
        <w:rPr>
          <w:lang w:eastAsia="en-AU"/>
        </w:rPr>
        <w:t xml:space="preserve"> OCP develop</w:t>
      </w:r>
      <w:r>
        <w:rPr>
          <w:lang w:eastAsia="en-AU"/>
        </w:rPr>
        <w:t>s</w:t>
      </w:r>
      <w:r w:rsidRPr="00CE600E">
        <w:rPr>
          <w:lang w:eastAsia="en-AU"/>
        </w:rPr>
        <w:t xml:space="preserve"> practice guidelines for services</w:t>
      </w:r>
      <w:r>
        <w:rPr>
          <w:lang w:eastAsia="en-AU"/>
        </w:rPr>
        <w:t>, but</w:t>
      </w:r>
      <w:r w:rsidRPr="00CE600E">
        <w:rPr>
          <w:lang w:eastAsia="en-AU"/>
        </w:rPr>
        <w:t xml:space="preserve"> </w:t>
      </w:r>
      <w:r>
        <w:rPr>
          <w:lang w:eastAsia="en-AU"/>
        </w:rPr>
        <w:t>rates of compliance with these guidelines are</w:t>
      </w:r>
      <w:r w:rsidRPr="00CE600E">
        <w:rPr>
          <w:lang w:eastAsia="en-AU"/>
        </w:rPr>
        <w:t xml:space="preserve"> not </w:t>
      </w:r>
      <w:r>
        <w:rPr>
          <w:lang w:eastAsia="en-AU"/>
        </w:rPr>
        <w:t>publicly reported</w:t>
      </w:r>
      <w:r w:rsidRPr="00CE600E">
        <w:rPr>
          <w:lang w:eastAsia="en-AU"/>
        </w:rPr>
        <w:t xml:space="preserve">. </w:t>
      </w:r>
      <w:r w:rsidRPr="00F60E2D">
        <w:t xml:space="preserve">Our practice experience is that mental health services have little awareness </w:t>
      </w:r>
      <w:r>
        <w:t xml:space="preserve">of </w:t>
      </w:r>
      <w:r w:rsidRPr="00F60E2D">
        <w:t>or regard to these guidelines in making compulsory treatment decisions</w:t>
      </w:r>
      <w:r>
        <w:t xml:space="preserve"> or delivering services</w:t>
      </w:r>
      <w:r w:rsidRPr="00F60E2D">
        <w:t>.</w:t>
      </w:r>
    </w:p>
  </w:footnote>
  <w:footnote w:id="100">
    <w:p w14:paraId="4C7110DA" w14:textId="132EF446" w:rsidR="00D80102" w:rsidRDefault="00D80102">
      <w:pPr>
        <w:pStyle w:val="FootnoteText"/>
      </w:pPr>
      <w:r>
        <w:rPr>
          <w:rStyle w:val="FootnoteReference"/>
        </w:rPr>
        <w:footnoteRef/>
      </w:r>
      <w:r>
        <w:t xml:space="preserve"> The functions of the Mental Health Complaints Commissioner could be consolidated into an independent mental health system regulator.</w:t>
      </w:r>
    </w:p>
  </w:footnote>
  <w:footnote w:id="101">
    <w:p w14:paraId="2B7B8869" w14:textId="0B5DE432" w:rsidR="00D80102" w:rsidRDefault="00D80102">
      <w:pPr>
        <w:pStyle w:val="FootnoteText"/>
      </w:pPr>
      <w:r>
        <w:rPr>
          <w:rStyle w:val="FootnoteReference"/>
        </w:rPr>
        <w:footnoteRef/>
      </w:r>
      <w:r>
        <w:t xml:space="preserve"> The functions of the Office of the Chief Psychiatrist could be consolidated into an independent mental health system regulator.</w:t>
      </w:r>
    </w:p>
  </w:footnote>
  <w:footnote w:id="102">
    <w:p w14:paraId="6C911B02" w14:textId="6924B90C" w:rsidR="00D80102" w:rsidRDefault="00D80102">
      <w:pPr>
        <w:pStyle w:val="FootnoteText"/>
      </w:pPr>
      <w:r>
        <w:rPr>
          <w:rStyle w:val="FootnoteReference"/>
        </w:rPr>
        <w:footnoteRef/>
      </w:r>
      <w:r>
        <w:t xml:space="preserve"> </w:t>
      </w:r>
      <w:r w:rsidRPr="00651DD8">
        <w:rPr>
          <w:bCs/>
        </w:rPr>
        <w:t>IMHA Evaluation Report</w:t>
      </w:r>
      <w:r w:rsidRPr="00AF1182">
        <w:t xml:space="preserve"> </w:t>
      </w:r>
      <w:r>
        <w:t>(n 14</w:t>
      </w:r>
      <w:r w:rsidRPr="00AF1182">
        <w:t>) 3</w:t>
      </w:r>
      <w:r>
        <w:t>3.</w:t>
      </w:r>
    </w:p>
  </w:footnote>
  <w:footnote w:id="103">
    <w:p w14:paraId="67692B01" w14:textId="5691E022" w:rsidR="00D80102" w:rsidRDefault="00D80102">
      <w:pPr>
        <w:pStyle w:val="FootnoteText"/>
      </w:pPr>
      <w:r>
        <w:rPr>
          <w:rStyle w:val="FootnoteReference"/>
        </w:rPr>
        <w:footnoteRef/>
      </w:r>
      <w:r>
        <w:t xml:space="preserve"> Currently, the Mental Health Complaints Commission has responsibility for managing complaints. As identified in section 5.3(a), We recommend the Royal Commission consider whether to improve funding and operation of the MHCC or consolidate these functions into an independent mental health system regulator.</w:t>
      </w:r>
    </w:p>
  </w:footnote>
  <w:footnote w:id="104">
    <w:p w14:paraId="790813CD" w14:textId="288ED135" w:rsidR="00D80102" w:rsidRPr="00AF1182" w:rsidRDefault="00D80102" w:rsidP="004303E2">
      <w:pPr>
        <w:pStyle w:val="FootnoteText"/>
      </w:pPr>
      <w:r w:rsidRPr="00AF1182">
        <w:rPr>
          <w:rStyle w:val="FootnoteReference"/>
          <w:sz w:val="16"/>
        </w:rPr>
        <w:footnoteRef/>
      </w:r>
      <w:r w:rsidRPr="00AF1182">
        <w:t xml:space="preserve"> </w:t>
      </w:r>
      <w:r w:rsidRPr="00651DD8">
        <w:t>Minister Wooldridge, Second Reading Speech</w:t>
      </w:r>
      <w:r>
        <w:t xml:space="preserve"> (n 115) 476. </w:t>
      </w:r>
    </w:p>
  </w:footnote>
  <w:footnote w:id="105">
    <w:p w14:paraId="3341B0FD" w14:textId="0F8F903C" w:rsidR="00D80102" w:rsidRPr="00AF1182" w:rsidRDefault="00D80102" w:rsidP="006759A6">
      <w:pPr>
        <w:pStyle w:val="FootnoteText"/>
      </w:pPr>
      <w:r w:rsidRPr="00AF1182">
        <w:rPr>
          <w:rStyle w:val="FootnoteReference"/>
          <w:sz w:val="16"/>
        </w:rPr>
        <w:footnoteRef/>
      </w:r>
      <w:r w:rsidRPr="00AF1182">
        <w:t xml:space="preserve"> These include the right to be treated equally before the law (s 7), the right to protection from torture and cruel, inhuman or degrading treatment (s 10), the right to freedom of movement (s 12)</w:t>
      </w:r>
      <w:r>
        <w:t>.</w:t>
      </w:r>
    </w:p>
  </w:footnote>
  <w:footnote w:id="106">
    <w:p w14:paraId="7A2FA12A" w14:textId="77777777" w:rsidR="00D80102" w:rsidRPr="00AF1182" w:rsidRDefault="00D80102" w:rsidP="006759A6">
      <w:pPr>
        <w:pStyle w:val="FootnoteText"/>
      </w:pPr>
      <w:r w:rsidRPr="00AF1182">
        <w:rPr>
          <w:rStyle w:val="FootnoteReference"/>
          <w:sz w:val="16"/>
        </w:rPr>
        <w:footnoteRef/>
      </w:r>
      <w:r w:rsidRPr="00AF1182">
        <w:t xml:space="preserve"> </w:t>
      </w:r>
      <w:r w:rsidRPr="00AF1182">
        <w:rPr>
          <w:i/>
        </w:rPr>
        <w:t xml:space="preserve">Charter of Human Rights and Responsibilities Act 2006 </w:t>
      </w:r>
      <w:r w:rsidRPr="00AF1182">
        <w:t xml:space="preserve">(Vic) ss 7(2)-(3). Section 21(3) makes clear that a person must not be deprived of his or liberty except on grounds, and in accordance with procedures, established by law. </w:t>
      </w:r>
    </w:p>
  </w:footnote>
  <w:footnote w:id="107">
    <w:p w14:paraId="1046BE7F" w14:textId="77777777" w:rsidR="00D80102" w:rsidRPr="00AF1182" w:rsidRDefault="00D80102" w:rsidP="006759A6">
      <w:pPr>
        <w:pStyle w:val="FootnoteText"/>
      </w:pPr>
      <w:r w:rsidRPr="00AF1182">
        <w:rPr>
          <w:rStyle w:val="FootnoteReference"/>
          <w:sz w:val="16"/>
        </w:rPr>
        <w:footnoteRef/>
      </w:r>
      <w:r w:rsidRPr="00AF1182">
        <w:t xml:space="preserve"> For example, a Treatment Order is an order made by the Mental Health Tribunal that enables a person to be treated compulsorily in the community or in a designated mental health service: </w:t>
      </w:r>
      <w:r w:rsidRPr="00AF1182">
        <w:rPr>
          <w:i/>
        </w:rPr>
        <w:t>Mental Health Act 2014</w:t>
      </w:r>
      <w:r w:rsidRPr="00AF1182">
        <w:t xml:space="preserve"> (Vic) s 52. Even after an order is made, mental health services must have regard to the mental health principles in s 11.</w:t>
      </w:r>
    </w:p>
  </w:footnote>
  <w:footnote w:id="108">
    <w:p w14:paraId="415785D1" w14:textId="3B520971" w:rsidR="00D80102" w:rsidRPr="00AF1182" w:rsidRDefault="00D80102" w:rsidP="006759A6">
      <w:pPr>
        <w:pStyle w:val="FootnoteText"/>
      </w:pPr>
      <w:r w:rsidRPr="00AF1182">
        <w:rPr>
          <w:rStyle w:val="FootnoteReference"/>
          <w:sz w:val="16"/>
        </w:rPr>
        <w:footnoteRef/>
      </w:r>
      <w:r w:rsidRPr="00651DD8">
        <w:t xml:space="preserve"> </w:t>
      </w:r>
      <w:r w:rsidRPr="00003362">
        <w:t>Micha</w:t>
      </w:r>
      <w:r w:rsidRPr="005D56FE">
        <w:t>el</w:t>
      </w:r>
      <w:r w:rsidRPr="00AF1182">
        <w:t xml:space="preserve"> Brett Young</w:t>
      </w:r>
      <w:r w:rsidRPr="006F2780">
        <w:rPr>
          <w:i/>
        </w:rPr>
        <w:t>, From Commitment to Culture:</w:t>
      </w:r>
      <w:r>
        <w:t xml:space="preserve"> </w:t>
      </w:r>
      <w:r w:rsidRPr="00AF1182">
        <w:rPr>
          <w:i/>
        </w:rPr>
        <w:t xml:space="preserve">The 2015 Review of the Charter of Human Rights and Responsibilities Act 2006 </w:t>
      </w:r>
      <w:r w:rsidRPr="00AF1182">
        <w:t>(</w:t>
      </w:r>
      <w:r>
        <w:t xml:space="preserve">Report, </w:t>
      </w:r>
      <w:r w:rsidRPr="00AF1182">
        <w:t xml:space="preserve">September 2015) </w:t>
      </w:r>
      <w:r>
        <w:t>110 (recommendation 25) &lt;</w:t>
      </w:r>
      <w:hyperlink r:id="rId24" w:history="1">
        <w:r w:rsidRPr="00920191">
          <w:rPr>
            <w:rStyle w:val="Hyperlink"/>
          </w:rPr>
          <w:t>https://engage.vic.gov.au/human-rights-charter-review</w:t>
        </w:r>
      </w:hyperlink>
      <w:r>
        <w:t>&gt;</w:t>
      </w:r>
      <w:r w:rsidRPr="00AF1182">
        <w:t>.</w:t>
      </w:r>
    </w:p>
  </w:footnote>
  <w:footnote w:id="109">
    <w:p w14:paraId="1E389D95" w14:textId="77777777" w:rsidR="00D80102" w:rsidRPr="00AF1182" w:rsidRDefault="00D80102" w:rsidP="007B64F8">
      <w:pPr>
        <w:pStyle w:val="FootnoteText"/>
      </w:pPr>
      <w:r w:rsidRPr="00AF1182">
        <w:rPr>
          <w:rStyle w:val="FootnoteReference"/>
          <w:sz w:val="16"/>
        </w:rPr>
        <w:footnoteRef/>
      </w:r>
      <w:r w:rsidRPr="00AF1182">
        <w:t xml:space="preserve"> </w:t>
      </w:r>
      <w:r w:rsidRPr="006F2780">
        <w:rPr>
          <w:i/>
        </w:rPr>
        <w:t>Mental Health Act 2014</w:t>
      </w:r>
      <w:r w:rsidRPr="00AF1182">
        <w:t xml:space="preserve"> (Vic) s 11(h).</w:t>
      </w:r>
    </w:p>
  </w:footnote>
  <w:footnote w:id="110">
    <w:p w14:paraId="7D0213F9" w14:textId="77777777" w:rsidR="00D80102" w:rsidRPr="00AF1182" w:rsidRDefault="00D80102" w:rsidP="007B64F8">
      <w:pPr>
        <w:pStyle w:val="FootnoteText"/>
      </w:pPr>
      <w:r w:rsidRPr="00AF1182">
        <w:rPr>
          <w:rStyle w:val="FootnoteReference"/>
          <w:sz w:val="16"/>
        </w:rPr>
        <w:footnoteRef/>
      </w:r>
      <w:r w:rsidRPr="00AF1182">
        <w:t xml:space="preserve"> Roads to Recovery</w:t>
      </w:r>
      <w:r>
        <w:t xml:space="preserve"> (n 1) 62 – 63. </w:t>
      </w:r>
    </w:p>
  </w:footnote>
  <w:footnote w:id="111">
    <w:p w14:paraId="53C53629" w14:textId="77777777" w:rsidR="00D80102" w:rsidRDefault="00D80102" w:rsidP="007B64F8">
      <w:pPr>
        <w:pStyle w:val="FootnoteText"/>
      </w:pPr>
      <w:r>
        <w:rPr>
          <w:rStyle w:val="FootnoteReference"/>
        </w:rPr>
        <w:footnoteRef/>
      </w:r>
      <w:r>
        <w:t xml:space="preserve"> See also Recommendation 14: Adequate Resourcing for ACCOs.</w:t>
      </w:r>
    </w:p>
  </w:footnote>
  <w:footnote w:id="112">
    <w:p w14:paraId="40DD469F" w14:textId="77777777" w:rsidR="00D80102" w:rsidRPr="00AF1182" w:rsidRDefault="00D80102" w:rsidP="007B64F8">
      <w:pPr>
        <w:spacing w:before="40" w:after="0" w:line="240" w:lineRule="auto"/>
        <w:rPr>
          <w:rFonts w:cs="Arial"/>
          <w:sz w:val="16"/>
          <w:szCs w:val="16"/>
        </w:rPr>
      </w:pPr>
      <w:r w:rsidRPr="00AF1182">
        <w:rPr>
          <w:rStyle w:val="FootnoteReference"/>
          <w:rFonts w:cs="Arial"/>
          <w:sz w:val="16"/>
          <w:szCs w:val="16"/>
        </w:rPr>
        <w:footnoteRef/>
      </w:r>
      <w:r w:rsidRPr="00AF1182">
        <w:rPr>
          <w:rFonts w:cs="Arial"/>
          <w:sz w:val="16"/>
          <w:szCs w:val="16"/>
        </w:rPr>
        <w:t xml:space="preserve"> These guiding principles set the minimum standards for all existing and future work with Aboriginal Victorians and will guide all government work to progress self-determination going forward</w:t>
      </w:r>
      <w:r>
        <w:rPr>
          <w:rFonts w:cs="Arial"/>
          <w:sz w:val="16"/>
          <w:szCs w:val="16"/>
        </w:rPr>
        <w:t xml:space="preserve">: </w:t>
      </w:r>
      <w:r w:rsidRPr="00AF1182">
        <w:rPr>
          <w:rFonts w:cs="Arial"/>
          <w:sz w:val="16"/>
          <w:szCs w:val="16"/>
        </w:rPr>
        <w:t xml:space="preserve">Victorian Government, </w:t>
      </w:r>
      <w:r w:rsidRPr="00AF1182">
        <w:rPr>
          <w:rFonts w:cs="Arial"/>
          <w:i/>
          <w:sz w:val="16"/>
          <w:szCs w:val="16"/>
        </w:rPr>
        <w:t>Victorian Aboriginal Affairs Framework 2018-2023</w:t>
      </w:r>
      <w:r w:rsidRPr="00AF1182">
        <w:rPr>
          <w:rFonts w:cs="Arial"/>
          <w:sz w:val="16"/>
          <w:szCs w:val="16"/>
        </w:rPr>
        <w:t xml:space="preserve"> (</w:t>
      </w:r>
      <w:r>
        <w:rPr>
          <w:rFonts w:cs="Arial"/>
          <w:sz w:val="16"/>
          <w:szCs w:val="16"/>
        </w:rPr>
        <w:t xml:space="preserve">Report, </w:t>
      </w:r>
      <w:r w:rsidRPr="00AF1182">
        <w:rPr>
          <w:rFonts w:cs="Arial"/>
          <w:sz w:val="16"/>
          <w:szCs w:val="16"/>
        </w:rPr>
        <w:t>2018) &lt;</w:t>
      </w:r>
      <w:hyperlink r:id="rId25" w:history="1">
        <w:r w:rsidRPr="00AF1182">
          <w:rPr>
            <w:rStyle w:val="Hyperlink"/>
            <w:rFonts w:cs="Arial"/>
            <w:sz w:val="16"/>
            <w:szCs w:val="16"/>
          </w:rPr>
          <w:t>https://w.www.vic.gov.au/system/user_files/Documents/av/VAAF%20FINAL.pdf</w:t>
        </w:r>
      </w:hyperlink>
      <w:r w:rsidRPr="00AF1182">
        <w:rPr>
          <w:rFonts w:cs="Arial"/>
          <w:sz w:val="16"/>
          <w:szCs w:val="16"/>
        </w:rPr>
        <w:t>&gt;.</w:t>
      </w:r>
    </w:p>
  </w:footnote>
  <w:footnote w:id="113">
    <w:p w14:paraId="6C5E9F9F" w14:textId="77777777" w:rsidR="00D80102" w:rsidRPr="00AF1182" w:rsidRDefault="00D80102" w:rsidP="007B64F8">
      <w:pPr>
        <w:pStyle w:val="FootnoteText"/>
      </w:pPr>
      <w:r w:rsidRPr="00AF1182">
        <w:rPr>
          <w:rStyle w:val="FootnoteReference"/>
          <w:sz w:val="16"/>
        </w:rPr>
        <w:footnoteRef/>
      </w:r>
      <w:r w:rsidRPr="00AF1182">
        <w:t xml:space="preserve"> </w:t>
      </w:r>
      <w:r w:rsidRPr="00A96CAF">
        <w:rPr>
          <w:i/>
        </w:rPr>
        <w:t>Human Rights Act 201</w:t>
      </w:r>
      <w:r w:rsidRPr="00143DA8">
        <w:rPr>
          <w:i/>
        </w:rPr>
        <w:t>9</w:t>
      </w:r>
      <w:r w:rsidRPr="00AF1182">
        <w:t xml:space="preserve"> (Qld) s 37.</w:t>
      </w:r>
    </w:p>
  </w:footnote>
  <w:footnote w:id="114">
    <w:p w14:paraId="1071FE4D" w14:textId="26337109" w:rsidR="00D80102" w:rsidRPr="00AF1182" w:rsidRDefault="00D80102" w:rsidP="006759A6">
      <w:pPr>
        <w:pStyle w:val="FootnoteText"/>
      </w:pPr>
      <w:r w:rsidRPr="00AF1182">
        <w:rPr>
          <w:rStyle w:val="FootnoteReference"/>
          <w:sz w:val="16"/>
        </w:rPr>
        <w:footnoteRef/>
      </w:r>
      <w:r w:rsidRPr="00AF1182">
        <w:t xml:space="preserve"> UN Committee on the Rights of Persons with Disabilities, </w:t>
      </w:r>
      <w:r w:rsidRPr="006F2780">
        <w:rPr>
          <w:i/>
        </w:rPr>
        <w:t>Concluding observations on the combined second and third periodic reports of Australia</w:t>
      </w:r>
      <w:r w:rsidRPr="00AF1182">
        <w:t xml:space="preserve">, </w:t>
      </w:r>
      <w:r w:rsidRPr="00AF1182">
        <w:rPr>
          <w:i/>
        </w:rPr>
        <w:t>CRPD/C/AUS/CO-2-3</w:t>
      </w:r>
      <w:r w:rsidRPr="00AF1182">
        <w:t xml:space="preserve"> (15 October 2019) </w:t>
      </w:r>
      <w:r>
        <w:t>7 &lt;</w:t>
      </w:r>
      <w:hyperlink r:id="rId26" w:history="1">
        <w:r w:rsidRPr="00AF1182">
          <w:rPr>
            <w:rStyle w:val="Hyperlink"/>
          </w:rPr>
          <w:t>https://tbinternet.ohchr.org/_layouts/15/treatybodyexternal/Download.aspx?symbolno=CRPD/C/AUS/CO/2-3&amp;Lang=en</w:t>
        </w:r>
      </w:hyperlink>
      <w:r>
        <w:t>&gt;</w:t>
      </w:r>
      <w:r w:rsidRPr="00AF1182">
        <w:t>.</w:t>
      </w:r>
    </w:p>
  </w:footnote>
  <w:footnote w:id="115">
    <w:p w14:paraId="3212781E" w14:textId="4D60C01C" w:rsidR="00D80102" w:rsidRPr="00AF1182" w:rsidRDefault="00D80102" w:rsidP="007C202F">
      <w:pPr>
        <w:pStyle w:val="FootnoteText"/>
      </w:pPr>
      <w:r w:rsidRPr="00AF1182">
        <w:rPr>
          <w:rStyle w:val="FootnoteReference"/>
          <w:sz w:val="16"/>
        </w:rPr>
        <w:footnoteRef/>
      </w:r>
      <w:r w:rsidRPr="00AF1182">
        <w:t xml:space="preserve"> </w:t>
      </w:r>
      <w:r>
        <w:t>M</w:t>
      </w:r>
      <w:r w:rsidRPr="00AF1182">
        <w:t xml:space="preserve"> </w:t>
      </w:r>
      <w:r w:rsidRPr="00AF1182">
        <w:rPr>
          <w:shd w:val="clear" w:color="auto" w:fill="FFFFFF"/>
        </w:rPr>
        <w:t xml:space="preserve">Lea </w:t>
      </w:r>
      <w:r>
        <w:rPr>
          <w:shd w:val="clear" w:color="auto" w:fill="FFFFFF"/>
        </w:rPr>
        <w:t>et al, ‘</w:t>
      </w:r>
      <w:r w:rsidRPr="00AF1182">
        <w:rPr>
          <w:shd w:val="clear" w:color="auto" w:fill="FFFFFF"/>
        </w:rPr>
        <w:t>A disability aware approach to torture prevention? Australian OPCAT ratification and improved protections for people with disability</w:t>
      </w:r>
      <w:r>
        <w:rPr>
          <w:shd w:val="clear" w:color="auto" w:fill="FFFFFF"/>
        </w:rPr>
        <w:t>’ (2018) 24(1)</w:t>
      </w:r>
      <w:r w:rsidRPr="00AF1182">
        <w:rPr>
          <w:shd w:val="clear" w:color="auto" w:fill="FFFFFF"/>
        </w:rPr>
        <w:t xml:space="preserve"> </w:t>
      </w:r>
      <w:r w:rsidRPr="006F2780">
        <w:rPr>
          <w:i/>
          <w:shd w:val="clear" w:color="auto" w:fill="FFFFFF"/>
        </w:rPr>
        <w:t>Australian Journal of Human Rights</w:t>
      </w:r>
      <w:r>
        <w:rPr>
          <w:i/>
          <w:iCs/>
          <w:shd w:val="clear" w:color="auto" w:fill="FFFFFF"/>
        </w:rPr>
        <w:t xml:space="preserve"> </w:t>
      </w:r>
      <w:r w:rsidRPr="00AF1182">
        <w:rPr>
          <w:shd w:val="clear" w:color="auto" w:fill="FFFFFF"/>
        </w:rPr>
        <w:t>70</w:t>
      </w:r>
      <w:r>
        <w:rPr>
          <w:shd w:val="clear" w:color="auto" w:fill="FFFFFF"/>
        </w:rPr>
        <w:t xml:space="preserve">. </w:t>
      </w:r>
      <w:r w:rsidRPr="00AF1182">
        <w:rPr>
          <w:shd w:val="clear" w:color="auto" w:fill="FFFFFF"/>
        </w:rPr>
        <w:t xml:space="preserve"> </w:t>
      </w:r>
    </w:p>
  </w:footnote>
  <w:footnote w:id="116">
    <w:p w14:paraId="11F1D59E" w14:textId="0D7994C5" w:rsidR="00D80102" w:rsidRPr="00AF1182" w:rsidRDefault="00D80102" w:rsidP="007C202F">
      <w:pPr>
        <w:pStyle w:val="FootnoteText"/>
      </w:pPr>
      <w:r w:rsidRPr="00AF1182">
        <w:rPr>
          <w:rStyle w:val="FootnoteReference"/>
          <w:sz w:val="16"/>
        </w:rPr>
        <w:footnoteRef/>
      </w:r>
      <w:r w:rsidRPr="00AF1182">
        <w:t xml:space="preserve"> Steven Caruana, </w:t>
      </w:r>
      <w:r w:rsidRPr="00651DD8">
        <w:rPr>
          <w:i/>
          <w:iCs/>
        </w:rPr>
        <w:t>Enhancing</w:t>
      </w:r>
      <w:r w:rsidRPr="00651DD8">
        <w:rPr>
          <w:i/>
        </w:rPr>
        <w:t xml:space="preserve"> best practice inspection methodologies for oversight bodies with an Optional Protocol to the Convention Against Torture focus</w:t>
      </w:r>
      <w:r>
        <w:t xml:space="preserve"> (Report to the</w:t>
      </w:r>
      <w:r w:rsidRPr="00AF1182">
        <w:t xml:space="preserve"> Winston Churchill Memorial Trust, </w:t>
      </w:r>
      <w:r>
        <w:t xml:space="preserve">2017) </w:t>
      </w:r>
      <w:r w:rsidRPr="00AF1182">
        <w:t>50 &lt;</w:t>
      </w:r>
      <w:hyperlink r:id="rId27" w:history="1">
        <w:r w:rsidRPr="00AF1182">
          <w:rPr>
            <w:rStyle w:val="Hyperlink"/>
          </w:rPr>
          <w:t>https://www.churchilltrust.com.au/media/fellows/Caruana_S_2017_inspection_methodologies_for_oversight_bodies_with_an_OPCAT_focus.pdf</w:t>
        </w:r>
      </w:hyperlink>
      <w:r>
        <w:rPr>
          <w:rStyle w:val="Hyperlink"/>
        </w:rPr>
        <w:t xml:space="preserve">&gt;. </w:t>
      </w:r>
    </w:p>
  </w:footnote>
  <w:footnote w:id="117">
    <w:p w14:paraId="227F34DD" w14:textId="0B132DDC" w:rsidR="00D80102" w:rsidRPr="00AF1182" w:rsidRDefault="00D80102" w:rsidP="007C202F">
      <w:pPr>
        <w:pStyle w:val="FootnoteText"/>
      </w:pPr>
      <w:r w:rsidRPr="00AF1182">
        <w:rPr>
          <w:rStyle w:val="FootnoteReference"/>
          <w:sz w:val="16"/>
        </w:rPr>
        <w:footnoteRef/>
      </w:r>
      <w:r w:rsidRPr="00AF1182">
        <w:t xml:space="preserve"> See e.g</w:t>
      </w:r>
      <w:r w:rsidRPr="00907BC8">
        <w:t>.:</w:t>
      </w:r>
      <w:r w:rsidRPr="00AF1182">
        <w:t xml:space="preserve"> Victoria Legal Aid, </w:t>
      </w:r>
      <w:r w:rsidRPr="00907BC8">
        <w:rPr>
          <w:i/>
        </w:rPr>
        <w:t>Submission to the Victorian Ombudsman on a pilot investigation of Dame Phyllis Frost Centre to help inform</w:t>
      </w:r>
      <w:r w:rsidRPr="006F2780">
        <w:rPr>
          <w:i/>
        </w:rPr>
        <w:t xml:space="preserve"> the practical changes needed in Victoria to implement OPCAT</w:t>
      </w:r>
      <w:r w:rsidRPr="00AF1182">
        <w:t xml:space="preserve"> (</w:t>
      </w:r>
      <w:r>
        <w:t xml:space="preserve">Submission, </w:t>
      </w:r>
      <w:r w:rsidRPr="00AF1182">
        <w:t>August 2017) &lt;</w:t>
      </w:r>
      <w:hyperlink r:id="rId28" w:anchor="dame-phyllis" w:history="1">
        <w:r w:rsidRPr="00AF1182">
          <w:rPr>
            <w:rStyle w:val="Hyperlink"/>
          </w:rPr>
          <w:t>https://www.legalaid.vic.gov.au/node/610#dame-phyllis</w:t>
        </w:r>
      </w:hyperlink>
      <w:r w:rsidRPr="00AF1182">
        <w:t xml:space="preserve">&gt;. </w:t>
      </w:r>
    </w:p>
  </w:footnote>
  <w:footnote w:id="118">
    <w:p w14:paraId="3747DD59" w14:textId="08B353E0" w:rsidR="00D80102" w:rsidRDefault="00D80102">
      <w:pPr>
        <w:pStyle w:val="FootnoteText"/>
      </w:pPr>
      <w:r>
        <w:rPr>
          <w:rStyle w:val="FootnoteReference"/>
        </w:rPr>
        <w:footnoteRef/>
      </w:r>
      <w:r>
        <w:t xml:space="preserve"> Including disability specific facilities, secure mental health facilities, police custody, youth justice centres, prisons, aged care facilities and immigration detention.</w:t>
      </w:r>
    </w:p>
  </w:footnote>
  <w:footnote w:id="119">
    <w:p w14:paraId="62C3B1A8" w14:textId="30A607DA" w:rsidR="00D80102" w:rsidRDefault="00D80102">
      <w:pPr>
        <w:pStyle w:val="FootnoteText"/>
      </w:pPr>
      <w:r>
        <w:rPr>
          <w:rStyle w:val="FootnoteReference"/>
        </w:rPr>
        <w:footnoteRef/>
      </w:r>
      <w:r>
        <w:t xml:space="preserve"> See Roads to Recovery (n 1) 56.</w:t>
      </w:r>
    </w:p>
  </w:footnote>
  <w:footnote w:id="120">
    <w:p w14:paraId="533534BD" w14:textId="673518C7" w:rsidR="00D80102" w:rsidRPr="00AF1182" w:rsidRDefault="00D80102" w:rsidP="006759A6">
      <w:pPr>
        <w:pStyle w:val="FootnoteText"/>
        <w:rPr>
          <w:i/>
        </w:rPr>
      </w:pPr>
      <w:r w:rsidRPr="00AF1182">
        <w:rPr>
          <w:rStyle w:val="FootnoteReference"/>
          <w:sz w:val="16"/>
        </w:rPr>
        <w:footnoteRef/>
      </w:r>
      <w:r w:rsidRPr="00AF1182">
        <w:t xml:space="preserve"> See</w:t>
      </w:r>
      <w:r>
        <w:t>:</w:t>
      </w:r>
      <w:r w:rsidRPr="00AF1182">
        <w:t xml:space="preserve"> Victoria Legal Aid, </w:t>
      </w:r>
      <w:proofErr w:type="gramStart"/>
      <w:r w:rsidRPr="006F2780">
        <w:rPr>
          <w:i/>
        </w:rPr>
        <w:t>Addressing</w:t>
      </w:r>
      <w:proofErr w:type="gramEnd"/>
      <w:r w:rsidRPr="006F2780">
        <w:rPr>
          <w:i/>
        </w:rPr>
        <w:t xml:space="preserve"> discrimination to prevent violence, abuse, neglect and exploitation:</w:t>
      </w:r>
      <w:r w:rsidRPr="00AF1182">
        <w:t xml:space="preserve"> </w:t>
      </w:r>
      <w:r w:rsidRPr="00AF1182">
        <w:rPr>
          <w:i/>
        </w:rPr>
        <w:t>Submission to the Royal Commission into Violence, Abuse, Neglect and Exploitation of People with Disability</w:t>
      </w:r>
      <w:r w:rsidRPr="00AF1182">
        <w:t xml:space="preserve"> (</w:t>
      </w:r>
      <w:r>
        <w:t xml:space="preserve">Submission, </w:t>
      </w:r>
      <w:r w:rsidRPr="00AF1182">
        <w:t>April 2020).</w:t>
      </w:r>
    </w:p>
  </w:footnote>
  <w:footnote w:id="121">
    <w:p w14:paraId="014A87B2" w14:textId="5A882848" w:rsidR="00D80102" w:rsidRPr="00AF1182" w:rsidRDefault="00D80102" w:rsidP="006759A6">
      <w:pPr>
        <w:pStyle w:val="FootnoteText"/>
      </w:pPr>
      <w:r w:rsidRPr="00AF1182">
        <w:rPr>
          <w:rStyle w:val="FootnoteReference"/>
          <w:sz w:val="16"/>
        </w:rPr>
        <w:footnoteRef/>
      </w:r>
      <w:r w:rsidRPr="00AF1182">
        <w:t xml:space="preserve"> Australian Human Rights Commission, </w:t>
      </w:r>
      <w:r w:rsidRPr="006F2780">
        <w:rPr>
          <w:i/>
        </w:rPr>
        <w:t>Respect@Work: Sexual Harassment National Inquiry Report</w:t>
      </w:r>
      <w:r w:rsidRPr="00AF1182">
        <w:t xml:space="preserve"> (</w:t>
      </w:r>
      <w:r>
        <w:t xml:space="preserve">Report, </w:t>
      </w:r>
      <w:r w:rsidRPr="00AF1182">
        <w:t>March 2020) &lt;</w:t>
      </w:r>
      <w:hyperlink r:id="rId29" w:history="1">
        <w:r w:rsidRPr="00AF1182">
          <w:rPr>
            <w:rStyle w:val="Hyperlink"/>
          </w:rPr>
          <w:t>https://www.humanrights.gov.au/our-work/sex-discrimination/publications/respectwork-sexual-harassment-national-inquiry-report-2020</w:t>
        </w:r>
      </w:hyperlink>
      <w:r w:rsidRPr="00AF1182">
        <w:t>&gt;</w:t>
      </w:r>
      <w:r>
        <w:t xml:space="preserve">. </w:t>
      </w:r>
    </w:p>
  </w:footnote>
  <w:footnote w:id="122">
    <w:p w14:paraId="23447927" w14:textId="7F215D59" w:rsidR="00D80102" w:rsidRPr="00AF1182" w:rsidRDefault="00D80102" w:rsidP="006759A6">
      <w:pPr>
        <w:pStyle w:val="FootnoteText"/>
      </w:pPr>
      <w:r w:rsidRPr="00AF1182">
        <w:rPr>
          <w:rStyle w:val="FootnoteReference"/>
          <w:sz w:val="16"/>
        </w:rPr>
        <w:footnoteRef/>
      </w:r>
      <w:r w:rsidRPr="00AF1182">
        <w:t xml:space="preserve"> </w:t>
      </w:r>
      <w:r>
        <w:t xml:space="preserve">Ibid 266. </w:t>
      </w:r>
    </w:p>
  </w:footnote>
  <w:footnote w:id="123">
    <w:p w14:paraId="03CD561C" w14:textId="4B56B182" w:rsidR="00D80102" w:rsidRPr="00AF1182" w:rsidRDefault="00D80102" w:rsidP="006759A6">
      <w:pPr>
        <w:pStyle w:val="FootnoteText"/>
      </w:pPr>
      <w:r w:rsidRPr="00AF1182">
        <w:rPr>
          <w:rStyle w:val="FootnoteReference"/>
          <w:sz w:val="16"/>
        </w:rPr>
        <w:footnoteRef/>
      </w:r>
      <w:r w:rsidRPr="00AF1182">
        <w:t xml:space="preserve"> </w:t>
      </w:r>
      <w:r>
        <w:t xml:space="preserve">Ibid 266. </w:t>
      </w:r>
    </w:p>
  </w:footnote>
  <w:footnote w:id="124">
    <w:p w14:paraId="776D1D5A" w14:textId="6CDC16EE" w:rsidR="00D80102" w:rsidRPr="00AF1182" w:rsidRDefault="00D80102" w:rsidP="006759A6">
      <w:pPr>
        <w:pStyle w:val="FootnoteText"/>
      </w:pPr>
      <w:r w:rsidRPr="00AF1182">
        <w:rPr>
          <w:rStyle w:val="FootnoteReference"/>
          <w:sz w:val="16"/>
        </w:rPr>
        <w:footnoteRef/>
      </w:r>
      <w:r w:rsidRPr="00AF1182">
        <w:t xml:space="preserve"> </w:t>
      </w:r>
      <w:r>
        <w:t xml:space="preserve">Victoria Legal Aid, </w:t>
      </w:r>
      <w:r>
        <w:rPr>
          <w:i/>
          <w:iCs/>
        </w:rPr>
        <w:t xml:space="preserve">Change the culture, change the system – urgent action needed to end sexual harassment at work: Submission to the AHRC National Inquiry into Sexual Harassment in Australian Workplaces </w:t>
      </w:r>
      <w:r>
        <w:t xml:space="preserve">(Submission, 28 February 2019) </w:t>
      </w:r>
      <w:r w:rsidRPr="00AF1182">
        <w:t>44</w:t>
      </w:r>
      <w:r>
        <w:t xml:space="preserve"> &lt;</w:t>
      </w:r>
      <w:hyperlink r:id="rId30" w:history="1">
        <w:r w:rsidRPr="00FC1684">
          <w:rPr>
            <w:rStyle w:val="Hyperlink"/>
          </w:rPr>
          <w:t>https://www.legalaid.vic.gov.au/sites/www.legalaid.vic.gov.au/files/vla-submission-ahrc-national-inquiry-sexual-harassment-at-work.pdf</w:t>
        </w:r>
      </w:hyperlink>
      <w:r>
        <w:t>&gt;</w:t>
      </w:r>
      <w:r w:rsidRPr="00AF1182">
        <w:t>.</w:t>
      </w:r>
    </w:p>
  </w:footnote>
  <w:footnote w:id="125">
    <w:p w14:paraId="300BF3D7" w14:textId="1A932515" w:rsidR="00D80102" w:rsidRPr="00AF1182" w:rsidRDefault="00D80102" w:rsidP="006759A6">
      <w:pPr>
        <w:pStyle w:val="FootnoteText"/>
      </w:pPr>
      <w:r w:rsidRPr="00AF1182">
        <w:rPr>
          <w:rStyle w:val="FootnoteReference"/>
          <w:sz w:val="16"/>
        </w:rPr>
        <w:footnoteRef/>
      </w:r>
      <w:r w:rsidRPr="00AF1182">
        <w:t xml:space="preserve"> </w:t>
      </w:r>
      <w:r>
        <w:t xml:space="preserve">Ibid. </w:t>
      </w:r>
    </w:p>
  </w:footnote>
  <w:footnote w:id="126">
    <w:p w14:paraId="4C7E8EDB" w14:textId="77777777" w:rsidR="00D80102" w:rsidRPr="00AF1182" w:rsidRDefault="00D80102" w:rsidP="0040503A">
      <w:pPr>
        <w:spacing w:before="40" w:after="0" w:line="240" w:lineRule="auto"/>
        <w:rPr>
          <w:rFonts w:cs="Arial"/>
          <w:sz w:val="16"/>
          <w:szCs w:val="16"/>
        </w:rPr>
      </w:pPr>
      <w:r w:rsidRPr="00AF1182">
        <w:rPr>
          <w:rStyle w:val="FootnoteReference"/>
          <w:rFonts w:cs="Arial"/>
          <w:sz w:val="16"/>
          <w:szCs w:val="16"/>
        </w:rPr>
        <w:footnoteRef/>
      </w:r>
      <w:r w:rsidRPr="00AF1182">
        <w:rPr>
          <w:rFonts w:cs="Arial"/>
          <w:sz w:val="16"/>
          <w:szCs w:val="16"/>
        </w:rPr>
        <w:t xml:space="preserve"> </w:t>
      </w:r>
      <w:r w:rsidRPr="00AF1182">
        <w:rPr>
          <w:rFonts w:cs="Arial"/>
          <w:i/>
          <w:sz w:val="16"/>
          <w:szCs w:val="16"/>
        </w:rPr>
        <w:t xml:space="preserve">Mental Health Act 2014 </w:t>
      </w:r>
      <w:r w:rsidRPr="00AF1182">
        <w:rPr>
          <w:rFonts w:cs="Arial"/>
          <w:sz w:val="16"/>
          <w:szCs w:val="16"/>
        </w:rPr>
        <w:t>(Vic) s 11(i).</w:t>
      </w:r>
    </w:p>
  </w:footnote>
  <w:footnote w:id="127">
    <w:p w14:paraId="2E3B4FB6" w14:textId="18A39BCA" w:rsidR="00D80102" w:rsidRPr="00AF1182" w:rsidRDefault="00D80102" w:rsidP="0040503A">
      <w:pPr>
        <w:pStyle w:val="FootnoteText"/>
      </w:pPr>
      <w:r w:rsidRPr="00DA2B21">
        <w:rPr>
          <w:rStyle w:val="FootnoteReference"/>
          <w:sz w:val="16"/>
        </w:rPr>
        <w:footnoteRef/>
      </w:r>
      <w:r w:rsidRPr="00DA2B21">
        <w:t xml:space="preserve"> </w:t>
      </w:r>
      <w:r>
        <w:t xml:space="preserve">See section 7.2(a). </w:t>
      </w:r>
    </w:p>
  </w:footnote>
  <w:footnote w:id="128">
    <w:p w14:paraId="72BA990D" w14:textId="77777777" w:rsidR="00D80102" w:rsidRPr="00AF1182" w:rsidRDefault="00D80102" w:rsidP="005412F1">
      <w:pPr>
        <w:pStyle w:val="FootnoteText"/>
      </w:pPr>
      <w:r w:rsidRPr="00AF1182">
        <w:rPr>
          <w:rStyle w:val="FootnoteReference"/>
          <w:sz w:val="16"/>
        </w:rPr>
        <w:footnoteRef/>
      </w:r>
      <w:r w:rsidRPr="00AF1182">
        <w:t xml:space="preserve"> For further detail and client examples, see</w:t>
      </w:r>
      <w:r>
        <w:t xml:space="preserve">: </w:t>
      </w:r>
      <w:r w:rsidRPr="00AF1182">
        <w:t>National Legal Aid</w:t>
      </w:r>
      <w:r>
        <w:t>,</w:t>
      </w:r>
      <w:r w:rsidRPr="00AF1182">
        <w:t xml:space="preserve"> </w:t>
      </w:r>
      <w:r w:rsidRPr="00AF1182">
        <w:rPr>
          <w:i/>
        </w:rPr>
        <w:t>Submission to the Council of Attorneys-General’s Review of the Minimum Age of Criminal Responsibility</w:t>
      </w:r>
      <w:r w:rsidRPr="00AF1182">
        <w:t xml:space="preserve">: </w:t>
      </w:r>
      <w:hyperlink r:id="rId31" w:anchor="criminal-responsibility-feb-2020" w:history="1">
        <w:r w:rsidRPr="00AF1182">
          <w:rPr>
            <w:rStyle w:val="Hyperlink"/>
          </w:rPr>
          <w:t>https://www.legalaid.vic.gov.au/about-us/strategic-advocacy-and-law-reform/other-activities#criminal-responsibility-feb-2020</w:t>
        </w:r>
      </w:hyperlink>
      <w:r w:rsidRPr="00AF1182">
        <w:t>.</w:t>
      </w:r>
    </w:p>
  </w:footnote>
  <w:footnote w:id="129">
    <w:p w14:paraId="346DBF07" w14:textId="28289E35" w:rsidR="00D80102" w:rsidRPr="00AF1182" w:rsidRDefault="00D80102" w:rsidP="0040503A">
      <w:pPr>
        <w:pStyle w:val="FootnoteText"/>
      </w:pPr>
      <w:r w:rsidRPr="00AF1182">
        <w:rPr>
          <w:rStyle w:val="FootnoteReference"/>
          <w:sz w:val="16"/>
        </w:rPr>
        <w:footnoteRef/>
      </w:r>
      <w:r w:rsidRPr="00AF1182">
        <w:t xml:space="preserve"> Roads to Recovery</w:t>
      </w:r>
      <w:r>
        <w:t xml:space="preserve"> (</w:t>
      </w:r>
      <w:r w:rsidRPr="00AF1182">
        <w:t xml:space="preserve">n </w:t>
      </w:r>
      <w:r>
        <w:t xml:space="preserve">1) 66 – 67. </w:t>
      </w:r>
    </w:p>
  </w:footnote>
  <w:footnote w:id="130">
    <w:p w14:paraId="71463513" w14:textId="6DE2BC0B" w:rsidR="00D80102" w:rsidRPr="00AF1182" w:rsidRDefault="00D80102" w:rsidP="0040503A">
      <w:pPr>
        <w:pStyle w:val="FootnoteText"/>
      </w:pPr>
      <w:r w:rsidRPr="00AF1182">
        <w:rPr>
          <w:rStyle w:val="FootnoteReference"/>
          <w:sz w:val="16"/>
        </w:rPr>
        <w:footnoteRef/>
      </w:r>
      <w:r w:rsidRPr="00AF1182">
        <w:t xml:space="preserve"> Roads to Recovery </w:t>
      </w:r>
      <w:r>
        <w:t xml:space="preserve">(n 1) 49 – 50. </w:t>
      </w:r>
    </w:p>
  </w:footnote>
  <w:footnote w:id="131">
    <w:p w14:paraId="7AF95949" w14:textId="77777777" w:rsidR="00D80102" w:rsidRPr="00AF1182" w:rsidRDefault="00D80102" w:rsidP="0040503A">
      <w:pPr>
        <w:pStyle w:val="FootnoteText"/>
      </w:pPr>
      <w:r w:rsidRPr="00AF1182">
        <w:rPr>
          <w:rStyle w:val="FootnoteReference"/>
          <w:sz w:val="16"/>
        </w:rPr>
        <w:footnoteRef/>
      </w:r>
      <w:r w:rsidRPr="00AF1182">
        <w:t xml:space="preserve"> Elena Campbell</w:t>
      </w:r>
      <w:r>
        <w:t xml:space="preserve"> et al</w:t>
      </w:r>
      <w:r w:rsidRPr="00AF1182">
        <w:t xml:space="preserve">, </w:t>
      </w:r>
      <w:r w:rsidRPr="00A96CAF">
        <w:rPr>
          <w:i/>
        </w:rPr>
        <w:t xml:space="preserve">The PIPA Project: Positive Interventions for Perpetrators of Adolescent violence </w:t>
      </w:r>
      <w:r w:rsidRPr="00143DA8">
        <w:rPr>
          <w:i/>
        </w:rPr>
        <w:t>in the home (AVITH)</w:t>
      </w:r>
      <w:r w:rsidRPr="00AF1182">
        <w:t xml:space="preserve"> (</w:t>
      </w:r>
      <w:r>
        <w:t xml:space="preserve">Report, </w:t>
      </w:r>
      <w:r w:rsidRPr="00AF1182">
        <w:t>March 2020) 103.</w:t>
      </w:r>
    </w:p>
  </w:footnote>
  <w:footnote w:id="132">
    <w:p w14:paraId="4AE34054" w14:textId="269B3BDC" w:rsidR="00D80102" w:rsidRPr="00AF1182" w:rsidRDefault="00D80102" w:rsidP="0040503A">
      <w:pPr>
        <w:pStyle w:val="FootnoteText"/>
        <w:rPr>
          <w:color w:val="000000" w:themeColor="text1"/>
          <w:lang w:eastAsia="en-AU"/>
        </w:rPr>
      </w:pPr>
      <w:r w:rsidRPr="00AF1182">
        <w:rPr>
          <w:rStyle w:val="FootnoteReference"/>
          <w:sz w:val="16"/>
        </w:rPr>
        <w:footnoteRef/>
      </w:r>
      <w:r w:rsidRPr="00AF1182">
        <w:t xml:space="preserve"> Victoria Legal Aid, </w:t>
      </w:r>
      <w:r w:rsidRPr="006F2780">
        <w:rPr>
          <w:i/>
        </w:rPr>
        <w:t>Submission to the Royal Commission into Family Violence</w:t>
      </w:r>
      <w:r w:rsidRPr="00AF1182">
        <w:t xml:space="preserve"> (</w:t>
      </w:r>
      <w:r>
        <w:t xml:space="preserve">Submission, </w:t>
      </w:r>
      <w:r w:rsidRPr="00AF1182">
        <w:t>June 2015) 40</w:t>
      </w:r>
      <w:r>
        <w:t xml:space="preserve"> &lt;</w:t>
      </w:r>
      <w:hyperlink r:id="rId32" w:history="1">
        <w:r w:rsidRPr="00FC1684">
          <w:rPr>
            <w:rStyle w:val="Hyperlink"/>
          </w:rPr>
          <w:t>https://www.legalaid.vic.gov.au/about-us/strategic-advocacy-and-law-reform/more-effective-responses-to-family-violence/royal-commission-into-family-violence</w:t>
        </w:r>
      </w:hyperlink>
      <w:r>
        <w:t>&gt;</w:t>
      </w:r>
      <w:r w:rsidRPr="00AF1182">
        <w:t>.</w:t>
      </w:r>
    </w:p>
  </w:footnote>
  <w:footnote w:id="133">
    <w:p w14:paraId="0899D8D8" w14:textId="3662A1C4" w:rsidR="00D80102" w:rsidRDefault="00D80102">
      <w:pPr>
        <w:pStyle w:val="FootnoteText"/>
      </w:pPr>
      <w:r>
        <w:rPr>
          <w:rStyle w:val="FootnoteReference"/>
        </w:rPr>
        <w:footnoteRef/>
      </w:r>
      <w:r>
        <w:t xml:space="preserve"> </w:t>
      </w:r>
      <w:r w:rsidRPr="00AF1182">
        <w:t>Elena Campbell</w:t>
      </w:r>
      <w:r>
        <w:t xml:space="preserve"> et al (n 182)</w:t>
      </w:r>
      <w:r w:rsidRPr="00AF1182">
        <w:t xml:space="preserve"> 16</w:t>
      </w:r>
      <w:r>
        <w:t xml:space="preserve"> – </w:t>
      </w:r>
      <w:r w:rsidRPr="00AF1182">
        <w:t>17.</w:t>
      </w:r>
    </w:p>
  </w:footnote>
  <w:footnote w:id="134">
    <w:p w14:paraId="0AFBF7E0" w14:textId="73402A41" w:rsidR="00D80102" w:rsidRPr="002955CB" w:rsidRDefault="00D80102" w:rsidP="0040503A">
      <w:pPr>
        <w:pStyle w:val="FootnoteText"/>
      </w:pPr>
      <w:r w:rsidRPr="002955CB">
        <w:rPr>
          <w:rStyle w:val="FootnoteReference"/>
        </w:rPr>
        <w:footnoteRef/>
      </w:r>
      <w:r w:rsidRPr="002955CB">
        <w:t xml:space="preserve"> Royal Australasian College of Physicians</w:t>
      </w:r>
      <w:r>
        <w:t xml:space="preserve">, </w:t>
      </w:r>
      <w:r w:rsidRPr="006F2780">
        <w:rPr>
          <w:i/>
        </w:rPr>
        <w:t xml:space="preserve">Submission to the Council of Attorneys General Working Group reviewing the Age of Criminal Responsibility </w:t>
      </w:r>
      <w:r w:rsidRPr="002955CB">
        <w:t>(</w:t>
      </w:r>
      <w:r>
        <w:t xml:space="preserve">Submission, </w:t>
      </w:r>
      <w:r w:rsidRPr="002955CB">
        <w:t>July 2019)</w:t>
      </w:r>
      <w:r>
        <w:t xml:space="preserve">; </w:t>
      </w:r>
      <w:r w:rsidRPr="002955CB">
        <w:t>Australian Medical Association, ‘AMA Calls for Age of Criminal Responsibility to be raised to 14 years of age’ (</w:t>
      </w:r>
      <w:r>
        <w:t>M</w:t>
      </w:r>
      <w:r w:rsidRPr="002955CB">
        <w:t>edia release, 25 March 2019)</w:t>
      </w:r>
      <w:r>
        <w:t xml:space="preserve"> &lt;</w:t>
      </w:r>
      <w:hyperlink r:id="rId33" w:history="1">
        <w:r w:rsidRPr="00FC1684">
          <w:rPr>
            <w:rStyle w:val="Hyperlink"/>
          </w:rPr>
          <w:t>https://ama.com.au/media/ama-calls-age-criminal-responsibility-be-raised-14-years-age</w:t>
        </w:r>
      </w:hyperlink>
      <w:r>
        <w:t>&gt;;</w:t>
      </w:r>
      <w:r w:rsidRPr="0023227F">
        <w:t xml:space="preserve"> </w:t>
      </w:r>
      <w:r>
        <w:t xml:space="preserve">Australian Indigenous Doctors’ Association, ‘Doctor </w:t>
      </w:r>
      <w:r w:rsidRPr="002955CB">
        <w:t xml:space="preserve">Joint media release, </w:t>
      </w:r>
      <w:r w:rsidRPr="002955CB">
        <w:rPr>
          <w:i/>
          <w:iCs/>
        </w:rPr>
        <w:t>Doctors, lawyers, experts unite in call to raise the age of criminal responsibility</w:t>
      </w:r>
      <w:r w:rsidRPr="002955CB">
        <w:t xml:space="preserve">. Available at: </w:t>
      </w:r>
      <w:hyperlink r:id="rId34" w:history="1">
        <w:r w:rsidRPr="00FC1684">
          <w:rPr>
            <w:rStyle w:val="Hyperlink"/>
          </w:rPr>
          <w:t>https://www.aida.org.au/mediareleases/doctors-lawyers-experts-unite-in-call-to-raise-the-age-of-criminal-responsibility</w:t>
        </w:r>
      </w:hyperlink>
      <w:r w:rsidRPr="002955CB">
        <w:t>.</w:t>
      </w:r>
    </w:p>
  </w:footnote>
  <w:footnote w:id="135">
    <w:p w14:paraId="7F60FB80" w14:textId="7D615296" w:rsidR="00D80102" w:rsidRPr="00AF1182" w:rsidRDefault="00D80102" w:rsidP="0040503A">
      <w:pPr>
        <w:pStyle w:val="FootnoteText"/>
      </w:pPr>
      <w:r w:rsidRPr="00AF1182">
        <w:rPr>
          <w:rStyle w:val="FootnoteReference"/>
          <w:sz w:val="16"/>
        </w:rPr>
        <w:footnoteRef/>
      </w:r>
      <w:r w:rsidRPr="00AF1182">
        <w:t xml:space="preserve"> The </w:t>
      </w:r>
      <w:r>
        <w:t xml:space="preserve">Victorian </w:t>
      </w:r>
      <w:r w:rsidRPr="00AF1182">
        <w:t>Youth Parole Board's annual survey found that 67</w:t>
      </w:r>
      <w:r>
        <w:t xml:space="preserve"> per cent</w:t>
      </w:r>
      <w:r w:rsidRPr="00AF1182">
        <w:t xml:space="preserve"> of young people in custody have been victims of trauma, abuse and neglect </w:t>
      </w:r>
      <w:r w:rsidRPr="00AF1182">
        <w:rPr>
          <w:rFonts w:eastAsia="Arial"/>
        </w:rPr>
        <w:t xml:space="preserve">Youth Parole Board, </w:t>
      </w:r>
      <w:r w:rsidRPr="00AF1182">
        <w:rPr>
          <w:rFonts w:eastAsia="Arial"/>
          <w:i/>
        </w:rPr>
        <w:t>Annual Report 2018 – 2019</w:t>
      </w:r>
      <w:r w:rsidRPr="00AF1182">
        <w:rPr>
          <w:rFonts w:eastAsia="Arial"/>
        </w:rPr>
        <w:t>, 29.</w:t>
      </w:r>
      <w:r w:rsidRPr="00AF1182">
        <w:t xml:space="preserve"> </w:t>
      </w:r>
    </w:p>
  </w:footnote>
  <w:footnote w:id="136">
    <w:p w14:paraId="469D675E" w14:textId="1F71C1E0" w:rsidR="00D80102" w:rsidRPr="00AF1182" w:rsidRDefault="00D80102" w:rsidP="0040503A">
      <w:pPr>
        <w:pStyle w:val="FootnoteText"/>
      </w:pPr>
      <w:r w:rsidRPr="00AF1182">
        <w:rPr>
          <w:rStyle w:val="FootnoteReference"/>
          <w:sz w:val="16"/>
        </w:rPr>
        <w:footnoteRef/>
      </w:r>
      <w:r w:rsidRPr="00AF1182">
        <w:t xml:space="preserve"> The </w:t>
      </w:r>
      <w:r>
        <w:t xml:space="preserve">Victorian </w:t>
      </w:r>
      <w:r w:rsidRPr="00AF1182">
        <w:t xml:space="preserve">Youth Parole Board's annual survey found that </w:t>
      </w:r>
      <w:r>
        <w:t>48 per cent presented with mental health issues, 27 per cent had a history of self-harm or suicidal ideation, 38 per cent presented with cognitive difficulties that affect their daily functioning; Ibid, 29.</w:t>
      </w:r>
    </w:p>
  </w:footnote>
  <w:footnote w:id="137">
    <w:p w14:paraId="1F936362" w14:textId="0E03FE1C" w:rsidR="00D80102" w:rsidRPr="00AF1182" w:rsidRDefault="00D80102" w:rsidP="0040503A">
      <w:pPr>
        <w:pStyle w:val="FootnoteText"/>
      </w:pPr>
      <w:r w:rsidRPr="00AF1182">
        <w:rPr>
          <w:rStyle w:val="FootnoteReference"/>
          <w:sz w:val="16"/>
        </w:rPr>
        <w:footnoteRef/>
      </w:r>
      <w:r w:rsidRPr="00AF1182">
        <w:t xml:space="preserve"> Chris Cunneen, ‘Arguments for Raising the Minimum Age of Criminal Responsibility, Research Report’ (2017), </w:t>
      </w:r>
      <w:r w:rsidRPr="00AF1182">
        <w:rPr>
          <w:i/>
        </w:rPr>
        <w:t>Comparative Youth Penalty Project</w:t>
      </w:r>
      <w:r w:rsidRPr="00AF1182">
        <w:t xml:space="preserve"> </w:t>
      </w:r>
      <w:r w:rsidRPr="00AF1182">
        <w:rPr>
          <w:i/>
        </w:rPr>
        <w:t>UNSW</w:t>
      </w:r>
      <w:r w:rsidRPr="00AF1182">
        <w:t xml:space="preserve">. Available at </w:t>
      </w:r>
      <w:hyperlink r:id="rId35" w:history="1">
        <w:r w:rsidRPr="00FC1684">
          <w:rPr>
            <w:rStyle w:val="Hyperlink"/>
          </w:rPr>
          <w:t>http://cypp.unsw.edu.au/node/146</w:t>
        </w:r>
      </w:hyperlink>
      <w:r>
        <w:t>.</w:t>
      </w:r>
    </w:p>
  </w:footnote>
  <w:footnote w:id="138">
    <w:p w14:paraId="74585F18" w14:textId="77777777" w:rsidR="00D80102" w:rsidRPr="00AF1182" w:rsidRDefault="00D80102" w:rsidP="0040503A">
      <w:pPr>
        <w:pStyle w:val="FootnoteText"/>
      </w:pPr>
      <w:r w:rsidRPr="00AF1182">
        <w:rPr>
          <w:rStyle w:val="FootnoteReference"/>
          <w:sz w:val="16"/>
        </w:rPr>
        <w:footnoteRef/>
      </w:r>
      <w:r w:rsidRPr="00AF1182">
        <w:t xml:space="preserve"> Ibid.</w:t>
      </w:r>
    </w:p>
  </w:footnote>
  <w:footnote w:id="139">
    <w:p w14:paraId="7D451A45" w14:textId="415E11AE" w:rsidR="00D80102" w:rsidRPr="00AF1182" w:rsidRDefault="00D80102" w:rsidP="0040503A">
      <w:pPr>
        <w:pStyle w:val="FootnoteText"/>
      </w:pPr>
      <w:r w:rsidRPr="00AF1182">
        <w:rPr>
          <w:rStyle w:val="FootnoteReference"/>
          <w:sz w:val="16"/>
        </w:rPr>
        <w:footnoteRef/>
      </w:r>
      <w:r w:rsidRPr="00AF1182">
        <w:t xml:space="preserve"> Victorian Sentencing Advisory Council, </w:t>
      </w:r>
      <w:r w:rsidRPr="00AF1182">
        <w:rPr>
          <w:i/>
        </w:rPr>
        <w:t>Reoffending by Children and Young People in Victoria</w:t>
      </w:r>
      <w:r w:rsidRPr="00AF1182">
        <w:t xml:space="preserve"> (15 December 2016). Available at: </w:t>
      </w:r>
      <w:hyperlink r:id="rId36" w:history="1">
        <w:r w:rsidRPr="00D07274">
          <w:rPr>
            <w:rStyle w:val="Hyperlink"/>
          </w:rPr>
          <w:t>https://www.sentencingcouncil.vic.gov.au/sites/default/files/2019-08/Reoffending_by_Children_and_Young_People_in_Victoria.pdf</w:t>
        </w:r>
      </w:hyperlink>
      <w:r w:rsidRPr="00AF1182">
        <w:t>.</w:t>
      </w:r>
      <w:r>
        <w:t xml:space="preserve"> </w:t>
      </w:r>
      <w:r>
        <w:rPr>
          <w:lang w:val="en"/>
        </w:rPr>
        <w:t>SAC</w:t>
      </w:r>
      <w:r w:rsidRPr="00313E2B">
        <w:rPr>
          <w:lang w:val="en"/>
        </w:rPr>
        <w:t xml:space="preserve"> found that, after accounting for the effect of other factors, each additional year in age at entry into the criminal courts was associated with an 18</w:t>
      </w:r>
      <w:r>
        <w:rPr>
          <w:lang w:val="en"/>
        </w:rPr>
        <w:t>%</w:t>
      </w:r>
      <w:r w:rsidRPr="00313E2B">
        <w:rPr>
          <w:lang w:val="en"/>
        </w:rPr>
        <w:t xml:space="preserve"> decline in the likelihood of </w:t>
      </w:r>
      <w:r w:rsidRPr="00313E2B">
        <w:t>reoffending</w:t>
      </w:r>
      <w:r>
        <w:t xml:space="preserve">. </w:t>
      </w:r>
      <w:r w:rsidRPr="00313E2B">
        <w:t>See also</w:t>
      </w:r>
      <w:r>
        <w:t>:</w:t>
      </w:r>
      <w:r w:rsidRPr="00313E2B">
        <w:t xml:space="preserve"> Victorian Sentencing Advisory Council</w:t>
      </w:r>
      <w:r>
        <w:t xml:space="preserve">, </w:t>
      </w:r>
      <w:r w:rsidRPr="00313E2B">
        <w:rPr>
          <w:i/>
          <w:iCs/>
        </w:rPr>
        <w:t xml:space="preserve">Rethinking Sentencing for Young Adult Offenders </w:t>
      </w:r>
      <w:r w:rsidRPr="00313E2B">
        <w:t>(</w:t>
      </w:r>
      <w:r>
        <w:t xml:space="preserve">Report, </w:t>
      </w:r>
      <w:r w:rsidRPr="00313E2B">
        <w:t>De</w:t>
      </w:r>
      <w:r>
        <w:t>cember</w:t>
      </w:r>
      <w:r w:rsidRPr="00313E2B">
        <w:t xml:space="preserve"> 2019)</w:t>
      </w:r>
      <w:r>
        <w:t xml:space="preserve"> 14 – 17. </w:t>
      </w:r>
    </w:p>
  </w:footnote>
  <w:footnote w:id="140">
    <w:p w14:paraId="50D48347" w14:textId="7F1095F1" w:rsidR="00D80102" w:rsidRDefault="00D80102">
      <w:pPr>
        <w:pStyle w:val="FootnoteText"/>
      </w:pPr>
      <w:r>
        <w:rPr>
          <w:rStyle w:val="FootnoteReference"/>
        </w:rPr>
        <w:footnoteRef/>
      </w:r>
      <w:r>
        <w:t xml:space="preserve"> </w:t>
      </w:r>
      <w:r w:rsidRPr="00AF1182">
        <w:t>Roads to Recovery</w:t>
      </w:r>
      <w:r>
        <w:t xml:space="preserve"> (</w:t>
      </w:r>
      <w:r w:rsidRPr="00AF1182">
        <w:t xml:space="preserve">n </w:t>
      </w:r>
      <w:r>
        <w:t>1) 39 – 42.</w:t>
      </w:r>
    </w:p>
  </w:footnote>
  <w:footnote w:id="141">
    <w:p w14:paraId="0291A582" w14:textId="0BD176E0" w:rsidR="00D80102" w:rsidRPr="00923AD8" w:rsidRDefault="00D80102">
      <w:pPr>
        <w:pStyle w:val="FootnoteText"/>
        <w:rPr>
          <w:lang w:val="en-US"/>
        </w:rPr>
      </w:pPr>
      <w:r>
        <w:rPr>
          <w:rStyle w:val="FootnoteReference"/>
        </w:rPr>
        <w:footnoteRef/>
      </w:r>
      <w:r>
        <w:t xml:space="preserve"> Youth Justice Strategic Plan 2020-2030 (May 2020), </w:t>
      </w:r>
      <w:r>
        <w:rPr>
          <w:lang w:val="en-US"/>
        </w:rPr>
        <w:t xml:space="preserve">38 – 39. </w:t>
      </w:r>
    </w:p>
  </w:footnote>
  <w:footnote w:id="142">
    <w:p w14:paraId="41459289" w14:textId="5719425A" w:rsidR="00D80102" w:rsidRDefault="00D80102" w:rsidP="00EC5779">
      <w:pPr>
        <w:pStyle w:val="FootnoteText"/>
      </w:pPr>
      <w:r>
        <w:rPr>
          <w:rStyle w:val="FootnoteReference"/>
        </w:rPr>
        <w:footnoteRef/>
      </w:r>
      <w:r>
        <w:t xml:space="preserve"> Department of Justice and Community Safety, </w:t>
      </w:r>
      <w:r w:rsidRPr="00FF5935">
        <w:rPr>
          <w:i/>
        </w:rPr>
        <w:t>Youth Justice Strategic Plan 2020–2030</w:t>
      </w:r>
      <w:r>
        <w:t>, 22 May 2020, 29 and 38.</w:t>
      </w:r>
    </w:p>
  </w:footnote>
  <w:footnote w:id="143">
    <w:p w14:paraId="3A45CA1E" w14:textId="695643BC" w:rsidR="00D80102" w:rsidRDefault="00D80102">
      <w:pPr>
        <w:pStyle w:val="FootnoteText"/>
      </w:pPr>
      <w:r>
        <w:rPr>
          <w:rStyle w:val="FootnoteReference"/>
        </w:rPr>
        <w:footnoteRef/>
      </w:r>
      <w:r>
        <w:t xml:space="preserve"> Sentencing Advisory Council, </w:t>
      </w:r>
      <w:r w:rsidRPr="00192B24">
        <w:rPr>
          <w:i/>
        </w:rPr>
        <w:t>Rethinking Sentencing for Young Adult Offenders in Victoria</w:t>
      </w:r>
      <w:r w:rsidRPr="00930646">
        <w:t xml:space="preserve"> </w:t>
      </w:r>
      <w:r>
        <w:t>(</w:t>
      </w:r>
      <w:r w:rsidRPr="00930646">
        <w:t>Report</w:t>
      </w:r>
      <w:r>
        <w:t>, 3 December 2019).</w:t>
      </w:r>
    </w:p>
  </w:footnote>
  <w:footnote w:id="144">
    <w:p w14:paraId="22F063BE" w14:textId="59F13E01" w:rsidR="00D80102" w:rsidRPr="00AF1182" w:rsidRDefault="00D80102" w:rsidP="00E9771C">
      <w:pPr>
        <w:pStyle w:val="FootnoteText"/>
      </w:pPr>
      <w:r w:rsidRPr="00AF1182">
        <w:rPr>
          <w:rStyle w:val="FootnoteReference"/>
          <w:sz w:val="16"/>
        </w:rPr>
        <w:footnoteRef/>
      </w:r>
      <w:r w:rsidRPr="00AF1182">
        <w:t xml:space="preserve"> Roads to Recovery</w:t>
      </w:r>
      <w:r>
        <w:t xml:space="preserve"> (n 1</w:t>
      </w:r>
      <w:r w:rsidRPr="00003362">
        <w:t xml:space="preserve">) </w:t>
      </w:r>
      <w:r w:rsidRPr="004479A4">
        <w:t xml:space="preserve">42 – 43. </w:t>
      </w:r>
      <w:r>
        <w:t xml:space="preserve"> </w:t>
      </w:r>
    </w:p>
  </w:footnote>
  <w:footnote w:id="145">
    <w:p w14:paraId="4E428C7D" w14:textId="16E485AE" w:rsidR="00D80102" w:rsidRPr="00AF1182" w:rsidRDefault="00D80102" w:rsidP="006759A6">
      <w:pPr>
        <w:pStyle w:val="FootnoteText"/>
      </w:pPr>
      <w:r w:rsidRPr="00AF1182">
        <w:rPr>
          <w:rStyle w:val="FootnoteReference"/>
          <w:sz w:val="16"/>
        </w:rPr>
        <w:footnoteRef/>
      </w:r>
      <w:r w:rsidRPr="00AF1182">
        <w:t xml:space="preserve"> Victorian Auditor-General’s Office, </w:t>
      </w:r>
      <w:r w:rsidRPr="00AF1182">
        <w:rPr>
          <w:i/>
        </w:rPr>
        <w:t>Mental Health Strategies for the Justice System</w:t>
      </w:r>
      <w:r w:rsidRPr="00AF1182">
        <w:t xml:space="preserve"> (</w:t>
      </w:r>
      <w:r>
        <w:t xml:space="preserve">Report, </w:t>
      </w:r>
      <w:r w:rsidRPr="00AF1182">
        <w:t>2014) 2.</w:t>
      </w:r>
    </w:p>
  </w:footnote>
  <w:footnote w:id="146">
    <w:p w14:paraId="6A146C4D" w14:textId="47424932" w:rsidR="00D80102" w:rsidRPr="00AF1182" w:rsidRDefault="00D80102" w:rsidP="006759A6">
      <w:pPr>
        <w:pStyle w:val="FootnoteText"/>
      </w:pPr>
      <w:r w:rsidRPr="00AF1182">
        <w:rPr>
          <w:rStyle w:val="FootnoteReference"/>
          <w:sz w:val="16"/>
        </w:rPr>
        <w:footnoteRef/>
      </w:r>
      <w:r w:rsidRPr="00AF1182">
        <w:t xml:space="preserve"> Productivity Commission, </w:t>
      </w:r>
      <w:r w:rsidRPr="00AF1182">
        <w:rPr>
          <w:i/>
        </w:rPr>
        <w:t>Report on Government Services</w:t>
      </w:r>
      <w:r w:rsidRPr="00AF1182">
        <w:t xml:space="preserve"> (</w:t>
      </w:r>
      <w:r>
        <w:t xml:space="preserve">Report, </w:t>
      </w:r>
      <w:r w:rsidRPr="00AF1182">
        <w:t>January 2019) Table 8A.17. The Council of Australian Governments reports that real net operating expenditure per prisoner per day in Victoria in 2017–18 was $323.82 while net operating expenditure per Community Corrections offender per day in 2017–18 was $32.40.</w:t>
      </w:r>
    </w:p>
  </w:footnote>
  <w:footnote w:id="147">
    <w:p w14:paraId="36E7E747" w14:textId="54FEE791" w:rsidR="00D80102" w:rsidRPr="00AF1182" w:rsidRDefault="00D80102" w:rsidP="006759A6">
      <w:pPr>
        <w:pStyle w:val="FootnoteText"/>
      </w:pPr>
      <w:r w:rsidRPr="00AF1182">
        <w:rPr>
          <w:rStyle w:val="FootnoteReference"/>
          <w:sz w:val="16"/>
        </w:rPr>
        <w:footnoteRef/>
      </w:r>
      <w:r w:rsidRPr="00AF1182">
        <w:t xml:space="preserve"> </w:t>
      </w:r>
      <w:r>
        <w:t xml:space="preserve">Roads to Recovery (n 1); Answers to Questions on Notice (n 24). </w:t>
      </w:r>
    </w:p>
  </w:footnote>
  <w:footnote w:id="148">
    <w:p w14:paraId="4E32ECF1" w14:textId="1BAAA377" w:rsidR="00D80102" w:rsidRPr="00AF1182" w:rsidRDefault="00D80102" w:rsidP="006759A6">
      <w:pPr>
        <w:pStyle w:val="FootnoteText"/>
      </w:pPr>
      <w:r w:rsidRPr="00AF1182">
        <w:rPr>
          <w:rStyle w:val="FootnoteReference"/>
          <w:sz w:val="16"/>
        </w:rPr>
        <w:footnoteRef/>
      </w:r>
      <w:r w:rsidRPr="00AF1182">
        <w:t xml:space="preserve"> </w:t>
      </w:r>
      <w:r>
        <w:t>The Victorian Auditor-General identified that substantial system stress has resulted in only the most unwell being eligible to receive services:</w:t>
      </w:r>
      <w:r w:rsidRPr="00EC77AE">
        <w:t xml:space="preserve"> </w:t>
      </w:r>
      <w:r w:rsidRPr="00754369">
        <w:t xml:space="preserve">Victorian Auditor-General’s Office, </w:t>
      </w:r>
      <w:r w:rsidRPr="00754369">
        <w:rPr>
          <w:i/>
          <w:iCs/>
        </w:rPr>
        <w:t>Access to Mental Health Services</w:t>
      </w:r>
      <w:r w:rsidRPr="00754369">
        <w:t xml:space="preserve"> (</w:t>
      </w:r>
      <w:r>
        <w:t xml:space="preserve">Report, </w:t>
      </w:r>
      <w:r w:rsidRPr="00754369">
        <w:t>2019), 7.</w:t>
      </w:r>
      <w:r>
        <w:t xml:space="preserve"> </w:t>
      </w:r>
      <w:r w:rsidRPr="00AF1182">
        <w:t xml:space="preserve">In their submission to this Royal Commission, the Royal Australian and New Zealand College of Psychiatrists (RANZCP) highlighted the lack of services for the ‘missing middle’ and noted that community-based care needs to be available across a range of settings, at different degrees of intensity and assertiveness, and in close links with the NDIS; Victorian Branch RANZCP, </w:t>
      </w:r>
      <w:r w:rsidRPr="00AF1182">
        <w:rPr>
          <w:i/>
        </w:rPr>
        <w:t>Formal Submission: Royal Commission into Victoria’s Mental Health System</w:t>
      </w:r>
      <w:r w:rsidRPr="00AF1182">
        <w:t xml:space="preserve"> (</w:t>
      </w:r>
      <w:r>
        <w:t xml:space="preserve">Submission, </w:t>
      </w:r>
      <w:r w:rsidRPr="00AF1182">
        <w:t>July 2019), 20. This gap is also discussed in section 4.</w:t>
      </w:r>
    </w:p>
  </w:footnote>
  <w:footnote w:id="149">
    <w:p w14:paraId="56252E34" w14:textId="7EDC85CB" w:rsidR="00D80102" w:rsidRPr="00AF1182" w:rsidRDefault="00D80102" w:rsidP="006759A6">
      <w:pPr>
        <w:pStyle w:val="FootnoteText"/>
      </w:pPr>
      <w:r w:rsidRPr="00AF1182">
        <w:rPr>
          <w:rStyle w:val="FootnoteReference"/>
          <w:sz w:val="16"/>
        </w:rPr>
        <w:footnoteRef/>
      </w:r>
      <w:r w:rsidRPr="00AF1182">
        <w:t xml:space="preserve"> Victoria Police, </w:t>
      </w:r>
      <w:r w:rsidRPr="00AF1182">
        <w:rPr>
          <w:i/>
        </w:rPr>
        <w:t>Submission: Royal Commission into Victoria’s Mental Health System</w:t>
      </w:r>
      <w:r w:rsidRPr="00AF1182">
        <w:t xml:space="preserve"> (</w:t>
      </w:r>
      <w:r>
        <w:t xml:space="preserve">Submission, </w:t>
      </w:r>
      <w:r w:rsidRPr="00AF1182">
        <w:t>July 2019) (</w:t>
      </w:r>
      <w:r w:rsidRPr="00AF1182">
        <w:rPr>
          <w:b/>
        </w:rPr>
        <w:t>Victoria Police Submission</w:t>
      </w:r>
      <w:r w:rsidRPr="00AF1182">
        <w:t>) 32.</w:t>
      </w:r>
    </w:p>
  </w:footnote>
  <w:footnote w:id="150">
    <w:p w14:paraId="6B6A5196" w14:textId="4240A652" w:rsidR="00D80102" w:rsidRPr="00AF1182" w:rsidRDefault="00D80102" w:rsidP="006759A6">
      <w:pPr>
        <w:pStyle w:val="FootnoteText"/>
      </w:pPr>
      <w:r w:rsidRPr="00AF1182">
        <w:rPr>
          <w:rStyle w:val="FootnoteReference"/>
          <w:sz w:val="16"/>
        </w:rPr>
        <w:footnoteRef/>
      </w:r>
      <w:r w:rsidRPr="00AF1182">
        <w:t xml:space="preserve"> There was a</w:t>
      </w:r>
      <w:r>
        <w:t>n</w:t>
      </w:r>
      <w:r w:rsidRPr="00AF1182">
        <w:t xml:space="preserve"> 87.9</w:t>
      </w:r>
      <w:r>
        <w:t xml:space="preserve"> per cent</w:t>
      </w:r>
      <w:r w:rsidRPr="00AF1182">
        <w:t xml:space="preserve"> increase from 2014/15 to 2017/18 in responding to events for psychiatric crisis alone and a 32.2</w:t>
      </w:r>
      <w:r>
        <w:t xml:space="preserve"> per cent</w:t>
      </w:r>
      <w:r w:rsidRPr="00AF1182">
        <w:t xml:space="preserve"> increase in events for both psychiatric crisis and suicide attempt or threat</w:t>
      </w:r>
      <w:r>
        <w:t>:</w:t>
      </w:r>
      <w:r w:rsidRPr="00AF1182">
        <w:t xml:space="preserve"> </w:t>
      </w:r>
      <w:r>
        <w:t>Ibid</w:t>
      </w:r>
      <w:r w:rsidRPr="00AF1182">
        <w:t xml:space="preserve"> 5.</w:t>
      </w:r>
    </w:p>
  </w:footnote>
  <w:footnote w:id="151">
    <w:p w14:paraId="68C8D962" w14:textId="28ADCF01" w:rsidR="00D80102" w:rsidRPr="00AF1182" w:rsidRDefault="00D80102" w:rsidP="006759A6">
      <w:pPr>
        <w:pStyle w:val="FootnoteText"/>
      </w:pPr>
      <w:r w:rsidRPr="00AF1182">
        <w:rPr>
          <w:rStyle w:val="FootnoteReference"/>
          <w:sz w:val="16"/>
        </w:rPr>
        <w:footnoteRef/>
      </w:r>
      <w:r w:rsidRPr="00AF1182">
        <w:t xml:space="preserve"> </w:t>
      </w:r>
      <w:r>
        <w:t>Ibid</w:t>
      </w:r>
      <w:r w:rsidRPr="00AF1182" w:rsidDel="00B55A30">
        <w:t xml:space="preserve"> </w:t>
      </w:r>
      <w:r w:rsidRPr="00AF1182">
        <w:t>23.</w:t>
      </w:r>
    </w:p>
  </w:footnote>
  <w:footnote w:id="152">
    <w:p w14:paraId="5A128C14" w14:textId="13D38127" w:rsidR="00D80102" w:rsidRPr="00AF1182" w:rsidRDefault="00D80102" w:rsidP="006759A6">
      <w:pPr>
        <w:pStyle w:val="FootnoteText"/>
      </w:pPr>
      <w:r w:rsidRPr="00AF1182">
        <w:rPr>
          <w:rStyle w:val="FootnoteReference"/>
          <w:sz w:val="16"/>
        </w:rPr>
        <w:footnoteRef/>
      </w:r>
      <w:r w:rsidRPr="00AF1182">
        <w:t xml:space="preserve"> </w:t>
      </w:r>
      <w:r>
        <w:t xml:space="preserve">This was highlighted it the Victoria Police Submission; </w:t>
      </w:r>
      <w:r w:rsidRPr="00AF1182">
        <w:t xml:space="preserve">Victoria Police </w:t>
      </w:r>
      <w:r>
        <w:t xml:space="preserve">also </w:t>
      </w:r>
      <w:r w:rsidRPr="00AF1182">
        <w:t>noted that there was a 172</w:t>
      </w:r>
      <w:r>
        <w:t xml:space="preserve"> per cent</w:t>
      </w:r>
      <w:r w:rsidRPr="00AF1182">
        <w:t xml:space="preserve"> increase in Victoria Police eReferral (VPeR) mental health referrals between 2014/15 and 2017/18, creating service imposts for Monash Health</w:t>
      </w:r>
      <w:r>
        <w:t>:</w:t>
      </w:r>
      <w:r w:rsidRPr="00AF1182">
        <w:t xml:space="preserve"> </w:t>
      </w:r>
      <w:r>
        <w:t xml:space="preserve">Ibid </w:t>
      </w:r>
      <w:r w:rsidRPr="00AF1182">
        <w:t>17.</w:t>
      </w:r>
    </w:p>
  </w:footnote>
  <w:footnote w:id="153">
    <w:p w14:paraId="4483F03F" w14:textId="77777777" w:rsidR="00D80102" w:rsidRDefault="00D80102" w:rsidP="00D80102">
      <w:pPr>
        <w:pStyle w:val="FootnoteText"/>
      </w:pPr>
      <w:r>
        <w:rPr>
          <w:rStyle w:val="FootnoteReference"/>
        </w:rPr>
        <w:footnoteRef/>
      </w:r>
      <w:r>
        <w:t xml:space="preserve"> </w:t>
      </w:r>
      <w:r>
        <w:rPr>
          <w:i/>
          <w:iCs/>
        </w:rPr>
        <w:t xml:space="preserve">Summary Offences Act 1966 </w:t>
      </w:r>
      <w:r>
        <w:t xml:space="preserve">(Vic) s </w:t>
      </w:r>
      <w:r>
        <w:rPr>
          <w:noProof/>
        </w:rPr>
        <w:t>49A</w:t>
      </w:r>
      <w:r>
        <w:t>.</w:t>
      </w:r>
    </w:p>
  </w:footnote>
  <w:footnote w:id="154">
    <w:p w14:paraId="14A4873E" w14:textId="77777777" w:rsidR="00D80102" w:rsidRDefault="00D80102" w:rsidP="00D80102">
      <w:pPr>
        <w:pStyle w:val="FootnoteText"/>
      </w:pPr>
      <w:r>
        <w:rPr>
          <w:rStyle w:val="FootnoteReference"/>
        </w:rPr>
        <w:footnoteRef/>
      </w:r>
      <w:r>
        <w:t xml:space="preserve"> </w:t>
      </w:r>
      <w:r>
        <w:rPr>
          <w:i/>
          <w:iCs/>
        </w:rPr>
        <w:t xml:space="preserve">Summary Offences Act 1966 </w:t>
      </w:r>
      <w:r>
        <w:t xml:space="preserve">(Vic) s </w:t>
      </w:r>
      <w:r>
        <w:rPr>
          <w:noProof/>
        </w:rPr>
        <w:t>17(1)(c). The Australian Law Reform Commission (</w:t>
      </w:r>
      <w:r>
        <w:rPr>
          <w:b/>
          <w:bCs/>
          <w:noProof/>
        </w:rPr>
        <w:t>ALRC</w:t>
      </w:r>
      <w:r>
        <w:rPr>
          <w:noProof/>
        </w:rPr>
        <w:t>) has recommended that State and territory governments repeal or narrow the application of</w:t>
      </w:r>
      <w:r>
        <w:t xml:space="preserve"> provisions that criminalise offensive language: ALRC, </w:t>
      </w:r>
      <w:r>
        <w:rPr>
          <w:i/>
          <w:iCs/>
        </w:rPr>
        <w:t xml:space="preserve">Pathways to Justice: An Inquiry into the Incarceration Rate of Aboriginal and Torres Strait Islander Peoples </w:t>
      </w:r>
      <w:r>
        <w:t>(Final Report, 27 March 2018) (</w:t>
      </w:r>
      <w:r>
        <w:rPr>
          <w:b/>
          <w:bCs/>
        </w:rPr>
        <w:t>Pathways to Justice</w:t>
      </w:r>
      <w:r>
        <w:t>) 16 – 17 (</w:t>
      </w:r>
      <w:r>
        <w:rPr>
          <w:noProof/>
        </w:rPr>
        <w:t>recommendations 12 – 14).</w:t>
      </w:r>
    </w:p>
  </w:footnote>
  <w:footnote w:id="155">
    <w:p w14:paraId="06E50DA6" w14:textId="77777777" w:rsidR="00D80102" w:rsidRDefault="00D80102" w:rsidP="00D80102">
      <w:pPr>
        <w:pStyle w:val="FootnoteText"/>
      </w:pPr>
      <w:r>
        <w:rPr>
          <w:rStyle w:val="FootnoteReference"/>
        </w:rPr>
        <w:footnoteRef/>
      </w:r>
      <w:r>
        <w:t xml:space="preserve"> </w:t>
      </w:r>
      <w:r>
        <w:rPr>
          <w:i/>
          <w:iCs/>
        </w:rPr>
        <w:t xml:space="preserve">Drugs, Poisons and Controlled Substances Act 1981 </w:t>
      </w:r>
      <w:r>
        <w:t>(Vic) s 75(a) (use of cannabis), s 75(b) (use of any other drug of dependence),  s71(1)(a) (possession of personal use quantities of cannabis), s 71(1)(b) (possession of personal use quantities of any other drug of dependence).</w:t>
      </w:r>
    </w:p>
  </w:footnote>
  <w:footnote w:id="156">
    <w:p w14:paraId="7684F8A9" w14:textId="59CA0280" w:rsidR="00D80102" w:rsidRPr="00AF1182" w:rsidRDefault="00D80102" w:rsidP="006759A6">
      <w:pPr>
        <w:pStyle w:val="FootnoteText"/>
        <w:rPr>
          <w:lang w:val="en-US"/>
        </w:rPr>
      </w:pPr>
      <w:r w:rsidRPr="00AF1182">
        <w:rPr>
          <w:rStyle w:val="FootnoteReference"/>
          <w:rFonts w:eastAsia="Arial"/>
          <w:sz w:val="16"/>
        </w:rPr>
        <w:footnoteRef/>
      </w:r>
      <w:r w:rsidRPr="00AF1182">
        <w:t xml:space="preserve"> </w:t>
      </w:r>
      <w:r w:rsidRPr="000820EB">
        <w:t xml:space="preserve">Australian Bureau of Statistics data </w:t>
      </w:r>
      <w:r>
        <w:t>shows</w:t>
      </w:r>
      <w:r w:rsidRPr="000820EB">
        <w:t xml:space="preserve"> that court actions as a proportion of police proceedings have increased from 52</w:t>
      </w:r>
      <w:r>
        <w:t xml:space="preserve"> per cent</w:t>
      </w:r>
      <w:r w:rsidRPr="000820EB">
        <w:t xml:space="preserve"> in 2012-13 to 71</w:t>
      </w:r>
      <w:r>
        <w:t xml:space="preserve"> per cent</w:t>
      </w:r>
      <w:r w:rsidRPr="000820EB">
        <w:t xml:space="preserve"> in 2018-19; conversely the proportion of non-court proceedings has decreased from a high of 65</w:t>
      </w:r>
      <w:r>
        <w:t xml:space="preserve"> per cent</w:t>
      </w:r>
      <w:r w:rsidRPr="000820EB">
        <w:t xml:space="preserve"> in 2012-13 to 32</w:t>
      </w:r>
      <w:r>
        <w:t xml:space="preserve"> per cent</w:t>
      </w:r>
      <w:r w:rsidRPr="000820EB">
        <w:t xml:space="preserve"> in 2018-19</w:t>
      </w:r>
      <w:r>
        <w:t xml:space="preserve">. </w:t>
      </w:r>
      <w:r w:rsidRPr="00AF1182">
        <w:rPr>
          <w:lang w:val="en-US"/>
        </w:rPr>
        <w:t xml:space="preserve">Australian Bureau of Statistics, </w:t>
      </w:r>
      <w:r w:rsidRPr="00AF1182">
        <w:rPr>
          <w:i/>
          <w:lang w:val="en-US"/>
        </w:rPr>
        <w:t>4519.0 Recorded Crime – Offenders, 2018-19</w:t>
      </w:r>
      <w:r w:rsidRPr="00AF1182">
        <w:rPr>
          <w:lang w:val="en-US"/>
        </w:rPr>
        <w:t xml:space="preserve">, </w:t>
      </w:r>
      <w:r>
        <w:rPr>
          <w:lang w:val="en-US"/>
        </w:rPr>
        <w:t xml:space="preserve">(Catalogue No 4519.0, 6 February </w:t>
      </w:r>
      <w:r w:rsidRPr="00AF1182">
        <w:rPr>
          <w:lang w:val="en-US"/>
        </w:rPr>
        <w:t>2020</w:t>
      </w:r>
      <w:r>
        <w:rPr>
          <w:lang w:val="en-US"/>
        </w:rPr>
        <w:t>)</w:t>
      </w:r>
      <w:r w:rsidRPr="00AF1182">
        <w:rPr>
          <w:lang w:val="en-US"/>
        </w:rPr>
        <w:t xml:space="preserve"> </w:t>
      </w:r>
      <w:r w:rsidRPr="006F2780">
        <w:rPr>
          <w:lang w:val="en-US"/>
        </w:rPr>
        <w:t>Police proceedings, selected states and territories - Table 27 Victoria</w:t>
      </w:r>
      <w:r>
        <w:rPr>
          <w:lang w:val="en-US"/>
        </w:rPr>
        <w:t xml:space="preserve"> &lt;</w:t>
      </w:r>
      <w:hyperlink r:id="rId37" w:history="1">
        <w:r w:rsidRPr="00AF1182">
          <w:rPr>
            <w:rStyle w:val="Hyperlink"/>
          </w:rPr>
          <w:t>https://www.abs.gov.au/AUSSTATS/abs@.nsf/DetailsPage/4519.02018-19?OpenDocument</w:t>
        </w:r>
      </w:hyperlink>
      <w:r>
        <w:rPr>
          <w:lang w:val="en-US"/>
        </w:rPr>
        <w:t xml:space="preserve">&gt;. </w:t>
      </w:r>
    </w:p>
  </w:footnote>
  <w:footnote w:id="157">
    <w:p w14:paraId="5427B774" w14:textId="3A482499" w:rsidR="00D80102" w:rsidRPr="00AF1182" w:rsidRDefault="00D80102" w:rsidP="006759A6">
      <w:pPr>
        <w:pStyle w:val="FootnoteText"/>
      </w:pPr>
      <w:bookmarkStart w:id="3550" w:name="_Hlk41394086"/>
      <w:r w:rsidRPr="00AF1182">
        <w:rPr>
          <w:rStyle w:val="FootnoteReference"/>
          <w:sz w:val="16"/>
        </w:rPr>
        <w:footnoteRef/>
      </w:r>
      <w:r w:rsidRPr="00AF1182">
        <w:t xml:space="preserve"> </w:t>
      </w:r>
      <w:r w:rsidRPr="00651DD8">
        <w:t xml:space="preserve">Victoria Police, </w:t>
      </w:r>
      <w:r w:rsidRPr="00651DD8">
        <w:rPr>
          <w:i/>
        </w:rPr>
        <w:t>Victoria Police Manual – Policy Rules</w:t>
      </w:r>
      <w:r w:rsidRPr="00651DD8">
        <w:t xml:space="preserve"> (2019). </w:t>
      </w:r>
      <w:bookmarkEnd w:id="3550"/>
    </w:p>
  </w:footnote>
  <w:footnote w:id="158">
    <w:p w14:paraId="7F5CC3C9" w14:textId="7CB0C204" w:rsidR="00D80102" w:rsidRPr="00AF1182" w:rsidRDefault="00D80102" w:rsidP="006759A6">
      <w:pPr>
        <w:pStyle w:val="FootnoteText"/>
      </w:pPr>
      <w:r w:rsidRPr="00AF1182">
        <w:rPr>
          <w:rStyle w:val="FootnoteReference"/>
          <w:rFonts w:eastAsia="Arial"/>
          <w:sz w:val="16"/>
        </w:rPr>
        <w:footnoteRef/>
      </w:r>
      <w:r w:rsidRPr="00AF1182">
        <w:t xml:space="preserve"> </w:t>
      </w:r>
      <w:r w:rsidRPr="00AF1182">
        <w:rPr>
          <w:i/>
          <w:iCs/>
        </w:rPr>
        <w:t>Young Offenders Act 1997</w:t>
      </w:r>
      <w:r w:rsidRPr="00AF1182">
        <w:t xml:space="preserve"> (NSW) s 31</w:t>
      </w:r>
      <w:r>
        <w:t xml:space="preserve">. </w:t>
      </w:r>
    </w:p>
  </w:footnote>
  <w:footnote w:id="159">
    <w:p w14:paraId="3B1C5DE1" w14:textId="24101BC0" w:rsidR="00D80102" w:rsidRPr="00754369" w:rsidRDefault="00D80102" w:rsidP="00776B76">
      <w:pPr>
        <w:pStyle w:val="FootnoteText"/>
        <w:rPr>
          <w:lang w:val="en-US"/>
        </w:rPr>
      </w:pPr>
      <w:r w:rsidRPr="00754369">
        <w:rPr>
          <w:rStyle w:val="FootnoteReference"/>
        </w:rPr>
        <w:footnoteRef/>
      </w:r>
      <w:r w:rsidRPr="00754369">
        <w:t xml:space="preserve"> Diversion began as an adult pilot program at the Broadmeadows Magistrates’ Court in January 1997 and was reviewed and revised in late 2000. Diversion is now available in all Magistrates’ Courts in Victoria. Youth diversion began as a pilot in the Children’s Court in January 2017. In 2017 a legislated diversion option was inserted into the </w:t>
      </w:r>
      <w:r w:rsidRPr="00754369">
        <w:rPr>
          <w:i/>
          <w:iCs/>
        </w:rPr>
        <w:t>Children, Youth and Families Act 2005</w:t>
      </w:r>
      <w:r>
        <w:rPr>
          <w:i/>
          <w:iCs/>
        </w:rPr>
        <w:t xml:space="preserve"> </w:t>
      </w:r>
      <w:r>
        <w:t>(Vic)</w:t>
      </w:r>
      <w:r w:rsidRPr="00754369">
        <w:t>.</w:t>
      </w:r>
    </w:p>
  </w:footnote>
  <w:footnote w:id="160">
    <w:p w14:paraId="48196F6E" w14:textId="6B618C60" w:rsidR="00D80102" w:rsidRDefault="00D80102">
      <w:pPr>
        <w:pStyle w:val="FootnoteText"/>
      </w:pPr>
      <w:r>
        <w:rPr>
          <w:rStyle w:val="FootnoteReference"/>
        </w:rPr>
        <w:footnoteRef/>
      </w:r>
      <w:r>
        <w:t xml:space="preserve"> The Court Diversion Coordinator makes a suitability assessment and recommends conditions and services that may address the offending behaviour; a</w:t>
      </w:r>
      <w:r w:rsidRPr="002F53CF">
        <w:rPr>
          <w:color w:val="000000" w:themeColor="text1"/>
          <w:szCs w:val="22"/>
          <w:lang w:eastAsia="en-AU"/>
        </w:rPr>
        <w:t xml:space="preserve"> person who successfully completes the conditions and does not commit further offences during the diversion period, will not have the matter recorded as part of their criminal history.</w:t>
      </w:r>
    </w:p>
  </w:footnote>
  <w:footnote w:id="161">
    <w:p w14:paraId="6C4E41BA" w14:textId="7FC91DAB" w:rsidR="00D80102" w:rsidRPr="00AF1182" w:rsidRDefault="00D80102" w:rsidP="006759A6">
      <w:pPr>
        <w:pStyle w:val="FootnoteText"/>
        <w:rPr>
          <w:lang w:val="en-US"/>
        </w:rPr>
      </w:pPr>
      <w:r w:rsidRPr="00AF1182">
        <w:rPr>
          <w:rStyle w:val="FootnoteReference"/>
          <w:sz w:val="16"/>
        </w:rPr>
        <w:footnoteRef/>
      </w:r>
      <w:r w:rsidRPr="00AF1182">
        <w:t xml:space="preserve"> Caitlin Grover, </w:t>
      </w:r>
      <w:r>
        <w:t>‘</w:t>
      </w:r>
      <w:r w:rsidRPr="006F2780">
        <w:t>Youth Justice in Victoria</w:t>
      </w:r>
      <w:r>
        <w:t xml:space="preserve">’ (Research Paper, </w:t>
      </w:r>
      <w:r w:rsidRPr="00AF1182">
        <w:t>Victorian Parliamentary Library &amp; Information Service, April 2017</w:t>
      </w:r>
      <w:r>
        <w:t xml:space="preserve">) 7. </w:t>
      </w:r>
    </w:p>
  </w:footnote>
  <w:footnote w:id="162">
    <w:p w14:paraId="665C5C1E" w14:textId="24A578C0" w:rsidR="00D80102" w:rsidRPr="00754369" w:rsidRDefault="00D80102" w:rsidP="00D36B14">
      <w:pPr>
        <w:pStyle w:val="FootnoteText"/>
      </w:pPr>
      <w:r w:rsidRPr="00754369">
        <w:rPr>
          <w:rStyle w:val="FootnoteReference"/>
          <w:rFonts w:eastAsia="Arial"/>
        </w:rPr>
        <w:footnoteRef/>
      </w:r>
      <w:r w:rsidRPr="00754369">
        <w:t xml:space="preserve"> </w:t>
      </w:r>
      <w:r>
        <w:t>This is a drop in real numbers from 22,098 to 18,165 diversions: D Cowan</w:t>
      </w:r>
      <w:r w:rsidRPr="00754369">
        <w:t xml:space="preserve"> et al</w:t>
      </w:r>
      <w:r>
        <w:t>,</w:t>
      </w:r>
      <w:r w:rsidRPr="00754369">
        <w:t xml:space="preserve"> ‘Reducing Repeat Offending Through Less Prosecution in Victoria, Australia: Opportunities for Increased Diversion of Offenders’ </w:t>
      </w:r>
      <w:r>
        <w:t xml:space="preserve">(2019) 3 </w:t>
      </w:r>
      <w:r w:rsidRPr="00754369">
        <w:rPr>
          <w:i/>
          <w:iCs/>
        </w:rPr>
        <w:t>Cambridge Journal of Evidence Based Policing</w:t>
      </w:r>
      <w:r w:rsidRPr="00754369">
        <w:t xml:space="preserve"> 109</w:t>
      </w:r>
      <w:r>
        <w:t xml:space="preserve">. </w:t>
      </w:r>
    </w:p>
  </w:footnote>
  <w:footnote w:id="163">
    <w:p w14:paraId="758E8E78" w14:textId="18971022" w:rsidR="00D80102" w:rsidRPr="00AF1182" w:rsidRDefault="00D80102" w:rsidP="006759A6">
      <w:pPr>
        <w:pStyle w:val="FootnoteText"/>
        <w:rPr>
          <w:lang w:val="en-US"/>
        </w:rPr>
      </w:pPr>
      <w:r w:rsidRPr="00AF1182">
        <w:rPr>
          <w:rStyle w:val="FootnoteReference"/>
          <w:rFonts w:eastAsia="Arial"/>
          <w:sz w:val="16"/>
        </w:rPr>
        <w:footnoteRef/>
      </w:r>
      <w:r w:rsidRPr="00AF1182">
        <w:t xml:space="preserve"> </w:t>
      </w:r>
      <w:r>
        <w:t>There is evidence that cautioning rates in rural and regional Victoria are below that of metropolitan Melbourne and the state average:</w:t>
      </w:r>
      <w:r w:rsidRPr="00AF1182">
        <w:t xml:space="preserve">, </w:t>
      </w:r>
      <w:r>
        <w:t xml:space="preserve">Kimberley Shirley ‘The cautious approach: Police cautions and the impact on youth reoffending’ (2017) 9 </w:t>
      </w:r>
      <w:r w:rsidRPr="006F2780">
        <w:rPr>
          <w:i/>
          <w:lang w:val="en-US"/>
        </w:rPr>
        <w:t>Crime Statistics Agency</w:t>
      </w:r>
      <w:r>
        <w:rPr>
          <w:lang w:val="en-US"/>
        </w:rPr>
        <w:t xml:space="preserve"> </w:t>
      </w:r>
      <w:r w:rsidRPr="0071110A">
        <w:rPr>
          <w:lang w:val="en-US"/>
        </w:rPr>
        <w:t xml:space="preserve">3 </w:t>
      </w:r>
      <w:r>
        <w:rPr>
          <w:lang w:val="en-US"/>
        </w:rPr>
        <w:t>&lt;</w:t>
      </w:r>
      <w:hyperlink r:id="rId38" w:history="1">
        <w:r w:rsidRPr="00E26F20">
          <w:rPr>
            <w:rStyle w:val="Hyperlink"/>
            <w:lang w:val="en-US"/>
          </w:rPr>
          <w:t>https://www.crimestatistics.vic.gov.au/sites/default/files/embridge_cache/emshare/original/public/2017/09/7f/e1e924c80/2017092</w:t>
        </w:r>
        <w:r w:rsidRPr="007F0927">
          <w:rPr>
            <w:rStyle w:val="Hyperlink"/>
            <w:lang w:val="en-US"/>
          </w:rPr>
          <w:t>5_in%20brief9%20FINAL.pdf</w:t>
        </w:r>
      </w:hyperlink>
      <w:r>
        <w:rPr>
          <w:lang w:val="en-US"/>
        </w:rPr>
        <w:t xml:space="preserve">&gt;. </w:t>
      </w:r>
    </w:p>
  </w:footnote>
  <w:footnote w:id="164">
    <w:p w14:paraId="250BBFFC" w14:textId="5282AF93" w:rsidR="00D80102" w:rsidRPr="00AF1182" w:rsidRDefault="00D80102" w:rsidP="006759A6">
      <w:pPr>
        <w:pStyle w:val="FootnoteText"/>
        <w:rPr>
          <w:lang w:val="en-US"/>
        </w:rPr>
      </w:pPr>
      <w:r w:rsidRPr="00AF1182">
        <w:rPr>
          <w:rStyle w:val="FootnoteReference"/>
          <w:sz w:val="16"/>
        </w:rPr>
        <w:footnoteRef/>
      </w:r>
      <w:r w:rsidRPr="00AF1182">
        <w:t xml:space="preserve"> </w:t>
      </w:r>
      <w:r w:rsidRPr="00A96CAF">
        <w:rPr>
          <w:i/>
        </w:rPr>
        <w:t>Ch</w:t>
      </w:r>
      <w:r w:rsidRPr="00143DA8">
        <w:rPr>
          <w:i/>
        </w:rPr>
        <w:t>ildren’s Youth and Families Act</w:t>
      </w:r>
      <w:r>
        <w:rPr>
          <w:i/>
        </w:rPr>
        <w:t xml:space="preserve"> 2005</w:t>
      </w:r>
      <w:r w:rsidRPr="006F2780">
        <w:rPr>
          <w:i/>
        </w:rPr>
        <w:t xml:space="preserve"> </w:t>
      </w:r>
      <w:r>
        <w:t>(Vic) s</w:t>
      </w:r>
      <w:r w:rsidRPr="00AF1182">
        <w:t xml:space="preserve"> 345(1).</w:t>
      </w:r>
    </w:p>
  </w:footnote>
  <w:footnote w:id="165">
    <w:p w14:paraId="4ED0E051" w14:textId="7652A7D0" w:rsidR="00D80102" w:rsidRPr="00AF1182" w:rsidRDefault="00D80102" w:rsidP="006759A6">
      <w:pPr>
        <w:pStyle w:val="FootnoteText"/>
      </w:pPr>
      <w:r w:rsidRPr="00AF1182">
        <w:rPr>
          <w:rStyle w:val="FootnoteReference"/>
          <w:sz w:val="16"/>
        </w:rPr>
        <w:footnoteRef/>
      </w:r>
      <w:r w:rsidRPr="00AF1182">
        <w:t xml:space="preserve"> </w:t>
      </w:r>
      <w:r w:rsidRPr="00AF1182">
        <w:rPr>
          <w:lang w:val="en-US"/>
        </w:rPr>
        <w:t>Notices to appear are rarely used by police. Justice Coghlan’s Second Advice reported Magistrates’ Court data which showed that as</w:t>
      </w:r>
      <w:r w:rsidRPr="00AF1182">
        <w:t xml:space="preserve"> little as 0.1</w:t>
      </w:r>
      <w:r>
        <w:t xml:space="preserve"> per cent </w:t>
      </w:r>
      <w:r w:rsidRPr="00AF1182">
        <w:t>of 160,942 matters commenced in the Magistrates’ Court in 2015-16 were by the notice to appear process</w:t>
      </w:r>
      <w:r>
        <w:t>:</w:t>
      </w:r>
      <w:r w:rsidRPr="00AF1182">
        <w:t xml:space="preserve"> </w:t>
      </w:r>
      <w:r w:rsidRPr="00D11465">
        <w:t xml:space="preserve">Paul Coghlan QC, </w:t>
      </w:r>
      <w:r w:rsidRPr="00D11465">
        <w:rPr>
          <w:i/>
        </w:rPr>
        <w:t>Bail Review: Second Advice to Victorian Government</w:t>
      </w:r>
      <w:r w:rsidRPr="00D11465">
        <w:t xml:space="preserve"> (Review, 1 September 2017)</w:t>
      </w:r>
      <w:r w:rsidRPr="00AF1182">
        <w:t xml:space="preserve"> 19. </w:t>
      </w:r>
    </w:p>
  </w:footnote>
  <w:footnote w:id="166">
    <w:p w14:paraId="3E3A5EFD" w14:textId="5BFCD0FE" w:rsidR="00D80102" w:rsidRPr="00AF1182" w:rsidRDefault="00D80102" w:rsidP="006759A6">
      <w:pPr>
        <w:pStyle w:val="FootnoteText"/>
      </w:pPr>
      <w:r w:rsidRPr="00AF1182">
        <w:rPr>
          <w:rStyle w:val="FootnoteReference"/>
          <w:sz w:val="16"/>
        </w:rPr>
        <w:footnoteRef/>
      </w:r>
      <w:r w:rsidRPr="00AF1182">
        <w:t xml:space="preserve"> </w:t>
      </w:r>
      <w:r>
        <w:t>Ibid</w:t>
      </w:r>
      <w:r w:rsidRPr="00C26909">
        <w:t xml:space="preserve"> 19 </w:t>
      </w:r>
      <w:r>
        <w:t>(</w:t>
      </w:r>
      <w:r w:rsidRPr="001833BF">
        <w:t>recommendation 25).</w:t>
      </w:r>
    </w:p>
  </w:footnote>
  <w:footnote w:id="167">
    <w:p w14:paraId="352FC0DD" w14:textId="16E059B6" w:rsidR="00D80102" w:rsidRPr="00477DD2" w:rsidRDefault="00D80102" w:rsidP="006759A6">
      <w:pPr>
        <w:pStyle w:val="FootnoteText"/>
      </w:pPr>
      <w:r w:rsidRPr="00AF1182">
        <w:rPr>
          <w:rStyle w:val="FootnoteReference"/>
          <w:sz w:val="16"/>
        </w:rPr>
        <w:footnoteRef/>
      </w:r>
      <w:r w:rsidRPr="00AF1182">
        <w:t xml:space="preserve"> </w:t>
      </w:r>
      <w:r>
        <w:t>Ibid</w:t>
      </w:r>
      <w:r w:rsidRPr="00C26909">
        <w:t xml:space="preserve"> </w:t>
      </w:r>
      <w:r w:rsidRPr="00AF1182">
        <w:t xml:space="preserve">14. </w:t>
      </w:r>
    </w:p>
  </w:footnote>
  <w:footnote w:id="168">
    <w:p w14:paraId="0406AF83" w14:textId="37DE4767" w:rsidR="00D80102" w:rsidRPr="00AF1182" w:rsidRDefault="00D80102" w:rsidP="006759A6">
      <w:pPr>
        <w:pStyle w:val="FootnoteText"/>
      </w:pPr>
      <w:r w:rsidRPr="00AF1182">
        <w:rPr>
          <w:rStyle w:val="FootnoteReference"/>
          <w:sz w:val="16"/>
        </w:rPr>
        <w:footnoteRef/>
      </w:r>
      <w:r w:rsidRPr="00AF1182">
        <w:t xml:space="preserve"> We saw a 10</w:t>
      </w:r>
      <w:r>
        <w:t xml:space="preserve"> per cent</w:t>
      </w:r>
      <w:r w:rsidRPr="00AF1182">
        <w:t xml:space="preserve"> increase in grants of aid (our most intensive form of assistance) in summary crime year on year following the introduction of the changes, in line with the growth in the remand population. We also saw a significant increase in our most intensive duty lawyer services.</w:t>
      </w:r>
    </w:p>
  </w:footnote>
  <w:footnote w:id="169">
    <w:p w14:paraId="0F87E42C" w14:textId="1466C4B8" w:rsidR="00D80102" w:rsidRPr="00AF1182" w:rsidRDefault="00D80102" w:rsidP="006759A6">
      <w:pPr>
        <w:pStyle w:val="FootnoteText"/>
      </w:pPr>
      <w:r w:rsidRPr="00AF1182">
        <w:rPr>
          <w:rStyle w:val="FootnoteReference"/>
          <w:sz w:val="16"/>
        </w:rPr>
        <w:footnoteRef/>
      </w:r>
      <w:r w:rsidRPr="00AF1182">
        <w:t xml:space="preserve"> This particularly affects marginalised people including those experiencing mental health issues, over 85</w:t>
      </w:r>
      <w:r>
        <w:t xml:space="preserve"> per cent</w:t>
      </w:r>
      <w:r w:rsidRPr="00AF1182">
        <w:t xml:space="preserve"> of the matters which resolved with a plea of guilty in the evening and weekend Bail and Remand Court in 2018</w:t>
      </w:r>
      <w:r>
        <w:t xml:space="preserve"> – </w:t>
      </w:r>
      <w:r w:rsidRPr="00AF1182">
        <w:t>19 did not result in a sentence of imprisonment.</w:t>
      </w:r>
    </w:p>
  </w:footnote>
  <w:footnote w:id="170">
    <w:p w14:paraId="6B492C92" w14:textId="34D940B5" w:rsidR="00D80102" w:rsidRPr="00AF1182" w:rsidRDefault="00D80102" w:rsidP="006759A6">
      <w:pPr>
        <w:pStyle w:val="FootnoteText"/>
      </w:pPr>
      <w:r w:rsidRPr="00AF1182">
        <w:rPr>
          <w:rStyle w:val="FootnoteReference"/>
          <w:rFonts w:eastAsia="Arial"/>
          <w:sz w:val="16"/>
        </w:rPr>
        <w:footnoteRef/>
      </w:r>
      <w:r w:rsidRPr="00AF1182">
        <w:t xml:space="preserve"> Dr McMahon cited a recent Texan study which compared two groups of ‘similarly situated’ people who had been arrested and charged with criminal offences. One group was granted bail and the other held on remand in prison, the participants were </w:t>
      </w:r>
      <w:r w:rsidRPr="00AF1182">
        <w:rPr>
          <w:i/>
        </w:rPr>
        <w:t>all</w:t>
      </w:r>
      <w:r w:rsidRPr="00AF1182">
        <w:t xml:space="preserve"> assessed to be equal risk. During an 18-month follow-up period, those who had been remanded into prison were more likely to be charged with offences; this difference persisted even after controlling for offence, accused demographics, criminal history and legal representation. Pre-trial detention was associated with a 30</w:t>
      </w:r>
      <w:r>
        <w:t xml:space="preserve"> per cent</w:t>
      </w:r>
      <w:r w:rsidRPr="00AF1182">
        <w:t xml:space="preserve"> increase in new serious charges and a 20</w:t>
      </w:r>
      <w:r>
        <w:t xml:space="preserve"> per cent</w:t>
      </w:r>
      <w:r w:rsidRPr="00AF1182">
        <w:t xml:space="preserve"> increase in new minor charges: Dr M McMahon, </w:t>
      </w:r>
      <w:r>
        <w:t>‘</w:t>
      </w:r>
      <w:r w:rsidRPr="006F2780">
        <w:t>No bail, more jail? Breaking the nexus between community protection and escalating pre-trial detention</w:t>
      </w:r>
      <w:r>
        <w:rPr>
          <w:i/>
        </w:rPr>
        <w:t>’</w:t>
      </w:r>
      <w:r w:rsidRPr="00AF1182">
        <w:t xml:space="preserve"> </w:t>
      </w:r>
      <w:r>
        <w:t>(</w:t>
      </w:r>
      <w:r w:rsidRPr="00AF1182">
        <w:t>Research Pape</w:t>
      </w:r>
      <w:r>
        <w:t>r, Parliament of Victoria,</w:t>
      </w:r>
      <w:r w:rsidRPr="00AF1182">
        <w:t xml:space="preserve"> August 2019</w:t>
      </w:r>
      <w:r>
        <w:t>)</w:t>
      </w:r>
      <w:r w:rsidRPr="00AF1182">
        <w:t xml:space="preserve"> 22; citing P Heaton, S Mayson &amp; M Stevenson ‘The downstream consequences of misdemeanor pretrial detention’</w:t>
      </w:r>
      <w:r>
        <w:t xml:space="preserve"> </w:t>
      </w:r>
      <w:r w:rsidRPr="00AF1182">
        <w:t>(2017)</w:t>
      </w:r>
      <w:r>
        <w:t xml:space="preserve"> 69(3)</w:t>
      </w:r>
      <w:r w:rsidRPr="00AF1182">
        <w:t xml:space="preserve"> </w:t>
      </w:r>
      <w:r w:rsidRPr="00AF1182">
        <w:rPr>
          <w:i/>
        </w:rPr>
        <w:t>Stanford Law Review</w:t>
      </w:r>
      <w:r>
        <w:rPr>
          <w:i/>
        </w:rPr>
        <w:t xml:space="preserve"> </w:t>
      </w:r>
      <w:r w:rsidRPr="00AF1182">
        <w:t>714</w:t>
      </w:r>
      <w:r>
        <w:t xml:space="preserve">. </w:t>
      </w:r>
    </w:p>
  </w:footnote>
  <w:footnote w:id="171">
    <w:p w14:paraId="713FCCE8" w14:textId="3B2C456D" w:rsidR="00D80102" w:rsidRPr="00AF1182" w:rsidRDefault="00D80102" w:rsidP="006759A6">
      <w:pPr>
        <w:pStyle w:val="FootnoteText"/>
        <w:rPr>
          <w:lang w:val="en-US"/>
        </w:rPr>
      </w:pPr>
      <w:r w:rsidRPr="00AF1182">
        <w:rPr>
          <w:rStyle w:val="FootnoteReference"/>
          <w:rFonts w:eastAsia="Arial"/>
          <w:sz w:val="16"/>
        </w:rPr>
        <w:footnoteRef/>
      </w:r>
      <w:r w:rsidRPr="00AF1182">
        <w:t xml:space="preserve"> </w:t>
      </w:r>
      <w:r w:rsidRPr="00AF1182">
        <w:rPr>
          <w:lang w:val="en-US"/>
        </w:rPr>
        <w:t xml:space="preserve">Sentencing Advisory Council, </w:t>
      </w:r>
      <w:r w:rsidRPr="00AF1182">
        <w:rPr>
          <w:i/>
          <w:lang w:val="en-US"/>
        </w:rPr>
        <w:t>Time Served Prison Sentences</w:t>
      </w:r>
      <w:r w:rsidRPr="00AF1182">
        <w:t xml:space="preserve"> (</w:t>
      </w:r>
      <w:r>
        <w:t xml:space="preserve">Report, </w:t>
      </w:r>
      <w:r w:rsidRPr="00AF1182">
        <w:t>January 2020)</w:t>
      </w:r>
      <w:r>
        <w:t>. This report</w:t>
      </w:r>
      <w:r w:rsidRPr="00AF1182">
        <w:t xml:space="preserve"> found that the number of prison sentences imposed on people who had spent time on remand that were equal in length to pre-sentence detention increased from 246 to 1828, meaning that time served sentences nearly tripled in proportion from 11</w:t>
      </w:r>
      <w:r>
        <w:t xml:space="preserve"> per cent</w:t>
      </w:r>
      <w:r w:rsidRPr="00AF1182">
        <w:t xml:space="preserve"> to 29</w:t>
      </w:r>
      <w:r>
        <w:t xml:space="preserve"> per cent</w:t>
      </w:r>
      <w:r w:rsidRPr="00AF1182">
        <w:t xml:space="preserve"> of all imprisonment sentences imposed on people who had spent time on remand. In contrast, the proportion of cases where the imprisonment term </w:t>
      </w:r>
      <w:r w:rsidRPr="00AF1182">
        <w:rPr>
          <w:i/>
        </w:rPr>
        <w:t>exceeded</w:t>
      </w:r>
      <w:r w:rsidRPr="00AF1182">
        <w:t xml:space="preserve"> pre-sentence detention dropped from 87</w:t>
      </w:r>
      <w:r>
        <w:t xml:space="preserve"> per cent</w:t>
      </w:r>
      <w:r w:rsidRPr="00AF1182">
        <w:t xml:space="preserve"> to 66</w:t>
      </w:r>
      <w:r>
        <w:t xml:space="preserve"> per cent</w:t>
      </w:r>
      <w:r w:rsidRPr="00AF1182">
        <w:t>, and the proportion of cases where pre-sentence detention exceeded the imprisonment sentence increased from 2</w:t>
      </w:r>
      <w:r>
        <w:t xml:space="preserve"> per cent</w:t>
      </w:r>
      <w:r w:rsidRPr="00AF1182">
        <w:t xml:space="preserve"> to 5</w:t>
      </w:r>
      <w:r>
        <w:t xml:space="preserve"> per cent</w:t>
      </w:r>
      <w:r w:rsidRPr="00AF1182">
        <w:t>.</w:t>
      </w:r>
    </w:p>
  </w:footnote>
  <w:footnote w:id="172">
    <w:p w14:paraId="37A4C177" w14:textId="410A2E0C" w:rsidR="00D80102" w:rsidRPr="00AF1182" w:rsidRDefault="00D80102" w:rsidP="006759A6">
      <w:pPr>
        <w:pStyle w:val="FootnoteText"/>
      </w:pPr>
      <w:r w:rsidRPr="00AF1182">
        <w:rPr>
          <w:rStyle w:val="FootnoteReference"/>
          <w:rFonts w:eastAsia="Arial"/>
          <w:sz w:val="16"/>
        </w:rPr>
        <w:footnoteRef/>
      </w:r>
      <w:r w:rsidRPr="00AF1182">
        <w:t xml:space="preserve"> Our practice experience is supported by recent research finding that accused people who have limited prospects of bail may plead guilty in order to be released from custody, even if they have a legitimate challenge to some or all of the prosecution case</w:t>
      </w:r>
      <w:r>
        <w:t>:</w:t>
      </w:r>
      <w:r w:rsidRPr="00AF1182">
        <w:t xml:space="preserve"> </w:t>
      </w:r>
      <w:r w:rsidRPr="00AF1182">
        <w:rPr>
          <w:lang w:val="en-US"/>
        </w:rPr>
        <w:t xml:space="preserve">Sentencing Advisory Council, </w:t>
      </w:r>
      <w:r w:rsidRPr="00AF1182">
        <w:rPr>
          <w:i/>
          <w:lang w:val="en-US"/>
        </w:rPr>
        <w:t>Time Served Prison Sentences</w:t>
      </w:r>
      <w:r w:rsidRPr="00AF1182">
        <w:t xml:space="preserve"> (</w:t>
      </w:r>
      <w:r>
        <w:t xml:space="preserve">Report </w:t>
      </w:r>
      <w:r w:rsidRPr="00AF1182">
        <w:t>January 2020) 10</w:t>
      </w:r>
      <w:r>
        <w:t>. See also:</w:t>
      </w:r>
      <w:r w:rsidRPr="00AF1182" w:rsidDel="004E7321">
        <w:t xml:space="preserve"> </w:t>
      </w:r>
      <w:r w:rsidRPr="00AF1182">
        <w:t>Caitlin Grover</w:t>
      </w:r>
      <w:r>
        <w:t xml:space="preserve"> (above n 160) </w:t>
      </w:r>
      <w:r w:rsidRPr="00AF1182">
        <w:t>7</w:t>
      </w:r>
      <w:r>
        <w:t>,</w:t>
      </w:r>
      <w:r w:rsidRPr="00AF1182">
        <w:t xml:space="preserve"> which concludes that “pre-trial detention is associated with an increased likelihood of pleading guilty, being more likely to be found guilty, and being given a custodial sentence. … there is some evidence that pre-trial detention itself independently contributes to these adverse outcomes—that is, being held on remand itself contributes to the probability that a person will plead guilty, be convicted and be given a sentence of imprisonment.”</w:t>
      </w:r>
    </w:p>
  </w:footnote>
  <w:footnote w:id="173">
    <w:p w14:paraId="2AD733F8" w14:textId="6D194920" w:rsidR="00D80102" w:rsidRPr="00AF1182" w:rsidRDefault="00D80102" w:rsidP="006759A6">
      <w:pPr>
        <w:pStyle w:val="FootnoteText"/>
      </w:pPr>
      <w:r w:rsidRPr="00AF1182">
        <w:rPr>
          <w:rStyle w:val="FootnoteReference"/>
          <w:sz w:val="16"/>
        </w:rPr>
        <w:footnoteRef/>
      </w:r>
      <w:r w:rsidRPr="00AF1182">
        <w:t xml:space="preserve"> SAC’s examination of sentencing data between 2011-12 and 2015-16, found that in the Magistrates' Court secondary offences doubled from 5.87</w:t>
      </w:r>
      <w:r>
        <w:t xml:space="preserve"> per cent</w:t>
      </w:r>
      <w:r w:rsidRPr="00AF1182">
        <w:t xml:space="preserve"> of all charges sentenced per year to 9.67</w:t>
      </w:r>
      <w:r>
        <w:t xml:space="preserve"> per cent</w:t>
      </w:r>
      <w:r w:rsidRPr="00AF1182">
        <w:t xml:space="preserve"> (28,465); and in the Children's Court secondary offences increased from 2.83</w:t>
      </w:r>
      <w:r>
        <w:t xml:space="preserve"> per cent</w:t>
      </w:r>
      <w:r w:rsidRPr="00AF1182">
        <w:t xml:space="preserve"> of all charges sentenced each year to 14.34</w:t>
      </w:r>
      <w:r>
        <w:t xml:space="preserve"> per cent</w:t>
      </w:r>
      <w:r w:rsidRPr="00AF1182">
        <w:t xml:space="preserve"> (2,993)</w:t>
      </w:r>
      <w:r>
        <w:t xml:space="preserve">: </w:t>
      </w:r>
      <w:r w:rsidRPr="00AF1182">
        <w:t xml:space="preserve">Sentencing Advisory Council, </w:t>
      </w:r>
      <w:r w:rsidRPr="00AF1182">
        <w:rPr>
          <w:i/>
          <w:iCs/>
        </w:rPr>
        <w:t>Secondary Offences in Victoria</w:t>
      </w:r>
      <w:r>
        <w:t xml:space="preserve"> (Report</w:t>
      </w:r>
      <w:r w:rsidRPr="00AF1182">
        <w:t>, September 2017</w:t>
      </w:r>
      <w:r>
        <w:t>)</w:t>
      </w:r>
      <w:r w:rsidRPr="00AF1182">
        <w:t xml:space="preserve"> 5.</w:t>
      </w:r>
    </w:p>
  </w:footnote>
  <w:footnote w:id="174">
    <w:p w14:paraId="1CF17D60" w14:textId="6ADB88A4" w:rsidR="00D80102" w:rsidRPr="00AF1182" w:rsidRDefault="00D80102" w:rsidP="006759A6">
      <w:pPr>
        <w:pStyle w:val="FootnoteText"/>
      </w:pPr>
      <w:r w:rsidRPr="00AF1182">
        <w:rPr>
          <w:rStyle w:val="FootnoteReference"/>
          <w:sz w:val="16"/>
        </w:rPr>
        <w:footnoteRef/>
      </w:r>
      <w:r w:rsidRPr="00AF1182">
        <w:t xml:space="preserve"> Sentencing Advisory Council, </w:t>
      </w:r>
      <w:r w:rsidRPr="00AF1182">
        <w:rPr>
          <w:i/>
          <w:iCs/>
        </w:rPr>
        <w:t>Secondary Offences in Victoria</w:t>
      </w:r>
      <w:r>
        <w:t xml:space="preserve"> (Report, </w:t>
      </w:r>
      <w:r w:rsidRPr="00AF1182">
        <w:t>September 2017</w:t>
      </w:r>
      <w:r>
        <w:t>)</w:t>
      </w:r>
      <w:r w:rsidRPr="00AF1182">
        <w:t xml:space="preserve"> 87.</w:t>
      </w:r>
    </w:p>
  </w:footnote>
  <w:footnote w:id="175">
    <w:p w14:paraId="3E953751" w14:textId="0315E66E" w:rsidR="00D80102" w:rsidRPr="00AF1182" w:rsidRDefault="00D80102" w:rsidP="006759A6">
      <w:pPr>
        <w:pStyle w:val="FootnoteText"/>
      </w:pPr>
      <w:r w:rsidRPr="00AF1182">
        <w:rPr>
          <w:vertAlign w:val="superscript"/>
        </w:rPr>
        <w:footnoteRef/>
      </w:r>
      <w:r w:rsidRPr="00AF1182">
        <w:t xml:space="preserve"> Victorian Law Reform Commission, </w:t>
      </w:r>
      <w:r w:rsidRPr="00AF1182">
        <w:rPr>
          <w:i/>
        </w:rPr>
        <w:t>Review of the Bail Act: Final Report</w:t>
      </w:r>
      <w:r w:rsidRPr="00AF1182">
        <w:t xml:space="preserve"> (</w:t>
      </w:r>
      <w:r>
        <w:t xml:space="preserve">Report, </w:t>
      </w:r>
      <w:r w:rsidRPr="00AF1182">
        <w:t>2007) 128.</w:t>
      </w:r>
    </w:p>
  </w:footnote>
  <w:footnote w:id="176">
    <w:p w14:paraId="7D77F590" w14:textId="28BF0794" w:rsidR="00D80102" w:rsidRPr="00AF1182" w:rsidRDefault="00D80102" w:rsidP="006759A6">
      <w:pPr>
        <w:pStyle w:val="FootnoteText"/>
      </w:pPr>
      <w:r w:rsidRPr="00AF1182">
        <w:rPr>
          <w:rStyle w:val="FootnoteReference"/>
          <w:sz w:val="16"/>
        </w:rPr>
        <w:footnoteRef/>
      </w:r>
      <w:r w:rsidRPr="00AF1182">
        <w:t xml:space="preserve"> In Australia, NSW and the ACT do not have breach of bail offences, only for failure to appear. WA has a limited breach offence for breaches of a protective bail condition (a violence restraining order or conditions to not endanger a person, interfere with a witness or obstruct the course of justice) or of failure to attend court without a reasonable excuse. Neither the UK nor NZ have breach of bail offences, instead a person may be arrested and brought to court</w:t>
      </w:r>
      <w:r>
        <w:t>:</w:t>
      </w:r>
      <w:r w:rsidRPr="00AF1182">
        <w:t xml:space="preserve"> </w:t>
      </w:r>
      <w:r w:rsidRPr="00AF1182">
        <w:rPr>
          <w:i/>
          <w:shd w:val="clear" w:color="auto" w:fill="FFFFFF"/>
        </w:rPr>
        <w:t>Bail Act 1976</w:t>
      </w:r>
      <w:r w:rsidRPr="00AF1182">
        <w:rPr>
          <w:shd w:val="clear" w:color="auto" w:fill="FFFFFF"/>
        </w:rPr>
        <w:t xml:space="preserve"> (UK) s7</w:t>
      </w:r>
      <w:r>
        <w:rPr>
          <w:shd w:val="clear" w:color="auto" w:fill="FFFFFF"/>
        </w:rPr>
        <w:t>;</w:t>
      </w:r>
      <w:r w:rsidRPr="00AF1182">
        <w:rPr>
          <w:shd w:val="clear" w:color="auto" w:fill="FFFFFF"/>
        </w:rPr>
        <w:t xml:space="preserve"> </w:t>
      </w:r>
      <w:r w:rsidRPr="00AF1182">
        <w:rPr>
          <w:i/>
        </w:rPr>
        <w:t>Bail Act 2000</w:t>
      </w:r>
      <w:r w:rsidRPr="00AF1182">
        <w:t xml:space="preserve"> (NZ) ss 24 and 38.</w:t>
      </w:r>
    </w:p>
  </w:footnote>
  <w:footnote w:id="177">
    <w:p w14:paraId="3944F610" w14:textId="58027D40" w:rsidR="00D80102" w:rsidRPr="00754369" w:rsidRDefault="00D80102" w:rsidP="003908C0">
      <w:pPr>
        <w:pStyle w:val="FootnoteText"/>
      </w:pPr>
      <w:r w:rsidRPr="00754369">
        <w:rPr>
          <w:rStyle w:val="FootnoteReference"/>
          <w:rFonts w:eastAsia="Arial"/>
        </w:rPr>
        <w:footnoteRef/>
      </w:r>
      <w:r w:rsidRPr="00754369">
        <w:t xml:space="preserve"> National Legal Aid, </w:t>
      </w:r>
      <w:r w:rsidRPr="006F2780">
        <w:rPr>
          <w:i/>
        </w:rPr>
        <w:t>Putting people first: Removing barriers for people with disability to access NDIS supports –</w:t>
      </w:r>
      <w:r>
        <w:t xml:space="preserve"> </w:t>
      </w:r>
      <w:r w:rsidRPr="00754369">
        <w:t xml:space="preserve"> </w:t>
      </w:r>
      <w:r w:rsidRPr="00754369">
        <w:rPr>
          <w:i/>
          <w:iCs/>
        </w:rPr>
        <w:t>Submission to the Review of the NDIS Act and the new NDIS Participant Service Guarantee</w:t>
      </w:r>
      <w:r w:rsidRPr="00754369">
        <w:t xml:space="preserve"> (</w:t>
      </w:r>
      <w:r>
        <w:t xml:space="preserve">Submission, </w:t>
      </w:r>
      <w:r w:rsidRPr="00754369">
        <w:t xml:space="preserve">4 November 2019) </w:t>
      </w:r>
      <w:r w:rsidRPr="00651DD8">
        <w:t>&lt;</w:t>
      </w:r>
      <w:hyperlink r:id="rId39" w:history="1">
        <w:r w:rsidRPr="00FC1684">
          <w:rPr>
            <w:rStyle w:val="Hyperlink"/>
          </w:rPr>
          <w:t>https://www.legalaid.vic.gov.au/sites/www.legalaid.vic.gov.au/files/vla-submission-putting-people-first-removing-barriers-for-people-with-disability-to-access-ndis-supports-11-2019.pdf</w:t>
        </w:r>
      </w:hyperlink>
      <w:r>
        <w:t>&gt;;</w:t>
      </w:r>
      <w:r w:rsidRPr="00754369">
        <w:t xml:space="preserve">Victoria Legal Aid, </w:t>
      </w:r>
      <w:r w:rsidRPr="006F2780">
        <w:rPr>
          <w:i/>
        </w:rPr>
        <w:t>Ten stories of NDIS ‘Thin Markets’: Reforming the NDIS to meet people’s needs –</w:t>
      </w:r>
      <w:r w:rsidRPr="00754369">
        <w:t xml:space="preserve"> </w:t>
      </w:r>
      <w:r w:rsidRPr="00754369">
        <w:rPr>
          <w:i/>
          <w:iCs/>
        </w:rPr>
        <w:t>Submission to the Department of Social Services and the National Disability Insurance Agency’s NDIS ‘Thin Markets’ Project</w:t>
      </w:r>
      <w:r w:rsidRPr="00754369">
        <w:t xml:space="preserve"> (</w:t>
      </w:r>
      <w:r>
        <w:t xml:space="preserve">Submission, </w:t>
      </w:r>
      <w:r w:rsidRPr="00754369">
        <w:t xml:space="preserve">June 2019) </w:t>
      </w:r>
      <w:r>
        <w:t>&lt;</w:t>
      </w:r>
      <w:hyperlink r:id="rId40" w:history="1">
        <w:r w:rsidRPr="00FC1684">
          <w:rPr>
            <w:rStyle w:val="Hyperlink"/>
          </w:rPr>
          <w:t>https://www.legalaid.vic.gov.au/about-us/news/reforming-ndis-to-meet-peoples-needs</w:t>
        </w:r>
      </w:hyperlink>
      <w:r>
        <w:t>&gt;</w:t>
      </w:r>
      <w:r w:rsidRPr="00754369">
        <w:t>.</w:t>
      </w:r>
    </w:p>
  </w:footnote>
  <w:footnote w:id="178">
    <w:p w14:paraId="45CF21CE" w14:textId="512F878C" w:rsidR="00D80102" w:rsidRPr="00AF1182" w:rsidRDefault="00D80102" w:rsidP="006759A6">
      <w:pPr>
        <w:pStyle w:val="FootnoteText"/>
      </w:pPr>
      <w:r w:rsidRPr="00AF1182">
        <w:rPr>
          <w:rStyle w:val="FootnoteReference"/>
          <w:rFonts w:eastAsia="Arial"/>
          <w:sz w:val="16"/>
        </w:rPr>
        <w:footnoteRef/>
      </w:r>
      <w:r w:rsidRPr="00AF1182">
        <w:t xml:space="preserve"> Sentencing Advisory Council, </w:t>
      </w:r>
      <w:r>
        <w:rPr>
          <w:i/>
          <w:iCs/>
        </w:rPr>
        <w:t xml:space="preserve">Time Served Prison Sentences in Victoria </w:t>
      </w:r>
      <w:r>
        <w:t>(Report, February 2020)</w:t>
      </w:r>
      <w:r w:rsidRPr="00AF1182">
        <w:t xml:space="preserve"> </w:t>
      </w:r>
      <w:r>
        <w:t xml:space="preserve">15. </w:t>
      </w:r>
    </w:p>
  </w:footnote>
  <w:footnote w:id="179">
    <w:p w14:paraId="3650C0B1" w14:textId="359B509C" w:rsidR="00D80102" w:rsidRPr="00AF1182" w:rsidRDefault="00D80102" w:rsidP="006759A6">
      <w:pPr>
        <w:pStyle w:val="FootnoteText"/>
        <w:rPr>
          <w:lang w:val="en-US"/>
        </w:rPr>
      </w:pPr>
      <w:r w:rsidRPr="00AF1182">
        <w:rPr>
          <w:rStyle w:val="FootnoteReference"/>
          <w:rFonts w:eastAsia="Arial"/>
          <w:sz w:val="16"/>
        </w:rPr>
        <w:footnoteRef/>
      </w:r>
      <w:r w:rsidRPr="00AF1182">
        <w:t xml:space="preserve"> CISP is available in eight of ten metropolitan courts and only 12 of 41 regional courts (Ballarat, Bendigo, Geelong, Korumburra, La Trobe, Mildura, Portland, Shepparton, Warrnambool, Wangaratta, Wodonga and Wonthaggi)</w:t>
      </w:r>
      <w:r>
        <w:t xml:space="preserve">: Magistrates’ Court of Victoria, </w:t>
      </w:r>
      <w:r>
        <w:rPr>
          <w:i/>
          <w:iCs/>
        </w:rPr>
        <w:t xml:space="preserve">Bail Support (CISP) </w:t>
      </w:r>
      <w:r>
        <w:t>(Web Page</w:t>
      </w:r>
      <w:r w:rsidRPr="00AF1182">
        <w:t>) &lt;</w:t>
      </w:r>
      <w:hyperlink r:id="rId41" w:history="1">
        <w:r w:rsidRPr="00AF1182">
          <w:rPr>
            <w:rStyle w:val="Hyperlink"/>
          </w:rPr>
          <w:t>https://www.mcv.vic.gov.au/find-support/bail-support-cisp</w:t>
        </w:r>
      </w:hyperlink>
      <w:r w:rsidRPr="00AF1182">
        <w:t>&gt;.</w:t>
      </w:r>
    </w:p>
  </w:footnote>
  <w:footnote w:id="180">
    <w:p w14:paraId="52FD0C82" w14:textId="0B91F46F" w:rsidR="00D80102" w:rsidRPr="00AF1182" w:rsidRDefault="00D80102" w:rsidP="006759A6">
      <w:pPr>
        <w:pStyle w:val="FootnoteText"/>
        <w:rPr>
          <w:lang w:val="en-US"/>
        </w:rPr>
      </w:pPr>
      <w:r w:rsidRPr="00AF1182">
        <w:rPr>
          <w:rStyle w:val="FootnoteReference"/>
          <w:rFonts w:eastAsia="Arial"/>
          <w:sz w:val="16"/>
        </w:rPr>
        <w:footnoteRef/>
      </w:r>
      <w:r w:rsidRPr="00AF1182">
        <w:t xml:space="preserve"> Angelica </w:t>
      </w:r>
      <w:r w:rsidRPr="00AF1182">
        <w:rPr>
          <w:lang w:val="en-US"/>
        </w:rPr>
        <w:t xml:space="preserve">Panopoulos, </w:t>
      </w:r>
      <w:r w:rsidRPr="00AF1182">
        <w:rPr>
          <w:i/>
          <w:lang w:val="en-US"/>
        </w:rPr>
        <w:t>The recent changes to bail laws in Victoria and the consequences for the justice system</w:t>
      </w:r>
      <w:r w:rsidRPr="00AF1182">
        <w:rPr>
          <w:lang w:val="en-US"/>
        </w:rPr>
        <w:t>, (</w:t>
      </w:r>
      <w:r w:rsidRPr="004032DB">
        <w:rPr>
          <w:lang w:val="en-US"/>
        </w:rPr>
        <w:t xml:space="preserve">Research Paper, Victorian Parliamentary Internship Program, </w:t>
      </w:r>
      <w:r w:rsidRPr="00AF1182">
        <w:rPr>
          <w:lang w:val="en-US"/>
        </w:rPr>
        <w:t>October 2019) 26.</w:t>
      </w:r>
    </w:p>
  </w:footnote>
  <w:footnote w:id="181">
    <w:p w14:paraId="09C23B4C" w14:textId="77777777" w:rsidR="00D80102" w:rsidRPr="00AF1182" w:rsidRDefault="00D80102" w:rsidP="006759A6">
      <w:pPr>
        <w:pStyle w:val="FootnoteText"/>
        <w:rPr>
          <w:lang w:val="en-US"/>
        </w:rPr>
      </w:pPr>
      <w:r w:rsidRPr="00AF1182">
        <w:rPr>
          <w:rStyle w:val="FootnoteReference"/>
          <w:rFonts w:eastAsia="Arial"/>
          <w:sz w:val="16"/>
        </w:rPr>
        <w:footnoteRef/>
      </w:r>
      <w:r w:rsidRPr="00AF1182">
        <w:t xml:space="preserve"> </w:t>
      </w:r>
      <w:r w:rsidRPr="00AF1182">
        <w:rPr>
          <w:lang w:val="en-US"/>
        </w:rPr>
        <w:t>Specifically, CISP in Horsham and Warrnambool is noted as having these issues.</w:t>
      </w:r>
    </w:p>
  </w:footnote>
  <w:footnote w:id="182">
    <w:p w14:paraId="542BBEB7" w14:textId="3214204F" w:rsidR="00D80102" w:rsidRPr="00AF1182" w:rsidRDefault="00D80102" w:rsidP="006759A6">
      <w:pPr>
        <w:pStyle w:val="FootnoteText"/>
      </w:pPr>
      <w:r w:rsidRPr="00AF1182">
        <w:rPr>
          <w:rStyle w:val="FootnoteReference"/>
          <w:sz w:val="16"/>
        </w:rPr>
        <w:footnoteRef/>
      </w:r>
      <w:r w:rsidRPr="00AF1182">
        <w:t xml:space="preserve"> </w:t>
      </w:r>
      <w:r>
        <w:rPr>
          <w:lang w:val="en-US"/>
        </w:rPr>
        <w:t xml:space="preserve">Roads to Recovery (n 1) 31.  </w:t>
      </w:r>
    </w:p>
  </w:footnote>
  <w:footnote w:id="183">
    <w:p w14:paraId="53D96F08" w14:textId="4E1C8253" w:rsidR="00D80102" w:rsidRPr="00AF1182" w:rsidRDefault="00D80102" w:rsidP="006759A6">
      <w:pPr>
        <w:pStyle w:val="FootnoteText"/>
      </w:pPr>
      <w:r w:rsidRPr="00AF1182">
        <w:rPr>
          <w:rStyle w:val="FootnoteReference"/>
          <w:sz w:val="16"/>
        </w:rPr>
        <w:footnoteRef/>
      </w:r>
      <w:r w:rsidRPr="00AF1182">
        <w:t xml:space="preserve"> KPMG, </w:t>
      </w:r>
      <w:r w:rsidRPr="00AF1182">
        <w:rPr>
          <w:i/>
        </w:rPr>
        <w:t xml:space="preserve">Evaluation of the Drug Court of Victoria </w:t>
      </w:r>
      <w:r w:rsidRPr="00AF1182">
        <w:t xml:space="preserve">(Final Report, 18 December 2014); Department of Justice, </w:t>
      </w:r>
      <w:r w:rsidRPr="00AF1182">
        <w:rPr>
          <w:i/>
        </w:rPr>
        <w:t xml:space="preserve">The Drug Court: an Evaluation of the Victorian Pilot Program </w:t>
      </w:r>
      <w:r w:rsidRPr="00AF1182">
        <w:t>(</w:t>
      </w:r>
      <w:r w:rsidRPr="009440DF">
        <w:t xml:space="preserve">Report, </w:t>
      </w:r>
      <w:r w:rsidRPr="00AF1182">
        <w:t xml:space="preserve">2005); Zoe Dawkins et al, </w:t>
      </w:r>
      <w:r w:rsidRPr="00AF1182">
        <w:rPr>
          <w:i/>
        </w:rPr>
        <w:t xml:space="preserve">County Koori Court </w:t>
      </w:r>
      <w:r w:rsidRPr="00AF1182">
        <w:t>(Final Evaluation Report,</w:t>
      </w:r>
      <w:r w:rsidRPr="009440DF">
        <w:t xml:space="preserve"> </w:t>
      </w:r>
      <w:r w:rsidRPr="00AF1182">
        <w:t xml:space="preserve">27 September 2011); Mark Harris, </w:t>
      </w:r>
      <w:r w:rsidRPr="00AF1182">
        <w:rPr>
          <w:i/>
        </w:rPr>
        <w:t>A Sentencing Conversation: Evaluation of the Koori Courts Pilot Program, October 2002–October 2004</w:t>
      </w:r>
      <w:r w:rsidRPr="00AF1182">
        <w:t xml:space="preserve"> (</w:t>
      </w:r>
      <w:r w:rsidRPr="00CF716E">
        <w:t>Report</w:t>
      </w:r>
      <w:r w:rsidRPr="00AF1182">
        <w:t xml:space="preserve">, 2006); Stuart Ross, </w:t>
      </w:r>
      <w:r>
        <w:t>‘</w:t>
      </w:r>
      <w:r w:rsidRPr="00AF1182">
        <w:t>Evaluating neighbourhood justice: Measuring and attributing outcomes for a community justice program</w:t>
      </w:r>
      <w:r>
        <w:t>’ (2015)</w:t>
      </w:r>
      <w:r w:rsidRPr="00AF1182">
        <w:t xml:space="preserve"> 499 </w:t>
      </w:r>
      <w:r w:rsidRPr="00AF1182">
        <w:rPr>
          <w:rFonts w:eastAsia="Arial"/>
          <w:i/>
        </w:rPr>
        <w:t xml:space="preserve">Australian Institute of Criminology: Trends </w:t>
      </w:r>
      <w:r>
        <w:rPr>
          <w:rFonts w:eastAsia="Arial"/>
          <w:i/>
        </w:rPr>
        <w:t>and</w:t>
      </w:r>
      <w:r w:rsidRPr="00AF1182">
        <w:rPr>
          <w:rFonts w:eastAsia="Arial"/>
          <w:i/>
        </w:rPr>
        <w:t xml:space="preserve"> issues in crime and criminal </w:t>
      </w:r>
      <w:r>
        <w:rPr>
          <w:i/>
        </w:rPr>
        <w:t>j</w:t>
      </w:r>
      <w:r w:rsidRPr="00AF1182">
        <w:rPr>
          <w:i/>
        </w:rPr>
        <w:t>ustice</w:t>
      </w:r>
      <w:r>
        <w:rPr>
          <w:iCs/>
        </w:rPr>
        <w:t>;</w:t>
      </w:r>
      <w:r>
        <w:t xml:space="preserve"> </w:t>
      </w:r>
      <w:r w:rsidRPr="00AF1182">
        <w:t>Anthony Morgan and Rick Brown, ‘Estimating the costs associated with community justice’</w:t>
      </w:r>
      <w:r>
        <w:t xml:space="preserve"> (2015)</w:t>
      </w:r>
      <w:r w:rsidRPr="00AF1182" w:rsidDel="00043E73">
        <w:t xml:space="preserve"> </w:t>
      </w:r>
      <w:r w:rsidRPr="00AF1182">
        <w:t xml:space="preserve">507 </w:t>
      </w:r>
      <w:r w:rsidRPr="00AF1182">
        <w:rPr>
          <w:rFonts w:eastAsia="Arial"/>
          <w:i/>
        </w:rPr>
        <w:t xml:space="preserve">Australian Institute of Criminology: Trends and issues in crime and criminal </w:t>
      </w:r>
      <w:r>
        <w:rPr>
          <w:i/>
        </w:rPr>
        <w:t>j</w:t>
      </w:r>
      <w:r w:rsidRPr="00AF1182">
        <w:rPr>
          <w:i/>
        </w:rPr>
        <w:t>ustice</w:t>
      </w:r>
      <w:r>
        <w:t>;</w:t>
      </w:r>
      <w:r w:rsidRPr="00AF1182">
        <w:t xml:space="preserve"> Victorian Ombudsman, </w:t>
      </w:r>
      <w:r w:rsidRPr="00AF1182">
        <w:rPr>
          <w:i/>
        </w:rPr>
        <w:t>Investigation into the reintegration and rehabilitation of prisoners in Victoria</w:t>
      </w:r>
      <w:r w:rsidRPr="00AF1182">
        <w:t xml:space="preserve"> (</w:t>
      </w:r>
      <w:r>
        <w:t xml:space="preserve">Report, </w:t>
      </w:r>
      <w:r w:rsidRPr="00AF1182">
        <w:t>September 2015).</w:t>
      </w:r>
    </w:p>
  </w:footnote>
  <w:footnote w:id="184">
    <w:p w14:paraId="34941E97" w14:textId="36C0826B" w:rsidR="00D80102" w:rsidRPr="00AF1182" w:rsidRDefault="00D80102" w:rsidP="006759A6">
      <w:pPr>
        <w:pStyle w:val="FootnoteText"/>
        <w:rPr>
          <w:lang w:val="en-US"/>
        </w:rPr>
      </w:pPr>
      <w:r w:rsidRPr="00AF1182">
        <w:rPr>
          <w:rStyle w:val="FootnoteReference"/>
          <w:rFonts w:eastAsia="Arial"/>
          <w:sz w:val="16"/>
        </w:rPr>
        <w:footnoteRef/>
      </w:r>
      <w:r w:rsidRPr="00AF1182">
        <w:t xml:space="preserve"> </w:t>
      </w:r>
      <w:r w:rsidRPr="00882362">
        <w:t xml:space="preserve">KPMG, </w:t>
      </w:r>
      <w:r w:rsidRPr="00882362">
        <w:rPr>
          <w:i/>
        </w:rPr>
        <w:t xml:space="preserve">Evaluation of the Drug Court of Victoria </w:t>
      </w:r>
      <w:r w:rsidRPr="00882362">
        <w:t xml:space="preserve">(Final Report, 18 December 2014) </w:t>
      </w:r>
      <w:r w:rsidRPr="00651DD8">
        <w:t>47</w:t>
      </w:r>
      <w:r w:rsidRPr="00882362">
        <w:t>.</w:t>
      </w:r>
      <w:r w:rsidRPr="00AF1182">
        <w:t xml:space="preserve"> </w:t>
      </w:r>
      <w:r w:rsidRPr="00AF1182">
        <w:rPr>
          <w:lang w:val="en-US"/>
        </w:rPr>
        <w:t>In 2018-2019, there were 323 referrals to the ARC List, with 124 participants being found suitable. This compares with 3,967 referrals to CISP in the same period, with 2,112 participants being accepted.</w:t>
      </w:r>
    </w:p>
  </w:footnote>
  <w:footnote w:id="185">
    <w:p w14:paraId="443CAC06" w14:textId="0513C6EF" w:rsidR="00D80102" w:rsidRDefault="00D80102">
      <w:pPr>
        <w:pStyle w:val="FootnoteText"/>
      </w:pPr>
      <w:r>
        <w:rPr>
          <w:rStyle w:val="FootnoteReference"/>
        </w:rPr>
        <w:footnoteRef/>
      </w:r>
      <w:r>
        <w:t xml:space="preserve"> </w:t>
      </w:r>
      <w:r w:rsidRPr="009D12A6">
        <w:t>As an example, the roll-out of ARC to Gippsland has been delayed and partly wound back due to staff shortages. We are also aware that some Magistrates’ Court buildings cannot provide rooms to accommodate clinical services or extra courtrooms to enable specialist listing capability</w:t>
      </w:r>
      <w:r>
        <w:t>.</w:t>
      </w:r>
    </w:p>
  </w:footnote>
  <w:footnote w:id="186">
    <w:p w14:paraId="6F72D942" w14:textId="0473AB2A" w:rsidR="00D80102" w:rsidRPr="00AF1182" w:rsidRDefault="00D80102" w:rsidP="006759A6">
      <w:pPr>
        <w:pStyle w:val="FootnoteText"/>
      </w:pPr>
      <w:r w:rsidRPr="00AF1182">
        <w:rPr>
          <w:rStyle w:val="FootnoteReference"/>
          <w:sz w:val="16"/>
        </w:rPr>
        <w:footnoteRef/>
      </w:r>
      <w:r w:rsidRPr="00AF1182">
        <w:t xml:space="preserve"> For example, the Drug Court excludes participants who are charged with offences that </w:t>
      </w:r>
      <w:r w:rsidRPr="00AF1182">
        <w:rPr>
          <w:lang w:val="en" w:eastAsia="en-AU"/>
        </w:rPr>
        <w:t>involved the infliction of more than minor harm. Many offenders in the County Court and Magistrates’ Court who experience drug and alcohol dependence face assault related offences and it is with this cohort that these benefits and outcomes of the Drug Court could more fully realised, to the benefit of the community. Expanding the eligibility criteria would enable the judicial officer to consider participants charged with injury on a case by case basis.</w:t>
      </w:r>
    </w:p>
  </w:footnote>
  <w:footnote w:id="187">
    <w:p w14:paraId="4F91F01A" w14:textId="3C25AB4E" w:rsidR="00D80102" w:rsidRDefault="00D80102">
      <w:pPr>
        <w:pStyle w:val="FootnoteText"/>
      </w:pPr>
      <w:r>
        <w:rPr>
          <w:rStyle w:val="FootnoteReference"/>
        </w:rPr>
        <w:footnoteRef/>
      </w:r>
      <w:r>
        <w:t xml:space="preserve"> We noted in </w:t>
      </w:r>
      <w:r w:rsidRPr="004F7C7B">
        <w:rPr>
          <w:i/>
          <w:iCs/>
        </w:rPr>
        <w:t>Roads to Recovery</w:t>
      </w:r>
      <w:r>
        <w:t xml:space="preserve"> that people may hesitate to</w:t>
      </w:r>
      <w:r w:rsidRPr="00F207E3">
        <w:t xml:space="preserve"> </w:t>
      </w:r>
      <w:r>
        <w:t xml:space="preserve">use the </w:t>
      </w:r>
      <w:r w:rsidRPr="00F207E3">
        <w:t>CMIA</w:t>
      </w:r>
      <w:r>
        <w:t>,</w:t>
      </w:r>
      <w:r w:rsidRPr="00F207E3">
        <w:t xml:space="preserve"> because </w:t>
      </w:r>
      <w:r>
        <w:t>if they are</w:t>
      </w:r>
      <w:r w:rsidRPr="00F207E3">
        <w:t xml:space="preserve"> found not guilty by </w:t>
      </w:r>
      <w:r>
        <w:t xml:space="preserve">reason of </w:t>
      </w:r>
      <w:r w:rsidRPr="00F207E3">
        <w:t>mental impairment or not fit to stand trial</w:t>
      </w:r>
      <w:r>
        <w:t>, they</w:t>
      </w:r>
      <w:r w:rsidRPr="00F207E3">
        <w:t xml:space="preserve"> face </w:t>
      </w:r>
      <w:r>
        <w:t>lengthy forensic</w:t>
      </w:r>
      <w:r w:rsidRPr="00F207E3">
        <w:t xml:space="preserve"> supervis</w:t>
      </w:r>
      <w:r>
        <w:t>ion</w:t>
      </w:r>
      <w:r w:rsidRPr="00F207E3">
        <w:t xml:space="preserve"> orders</w:t>
      </w:r>
      <w:r>
        <w:t xml:space="preserve"> which can </w:t>
      </w:r>
      <w:r w:rsidRPr="00F207E3">
        <w:t>exceed the term of imprisonment that would be imposed if the person was dealt with by the mainstream criminal trial process</w:t>
      </w:r>
      <w:r>
        <w:t xml:space="preserve"> (except for the most serious cases): Roads to Recovery (n 1) 43. </w:t>
      </w:r>
    </w:p>
  </w:footnote>
  <w:footnote w:id="188">
    <w:p w14:paraId="2CE3BE9F" w14:textId="574B01CF" w:rsidR="00D80102" w:rsidRPr="00E7775D" w:rsidRDefault="00D80102" w:rsidP="006759A6">
      <w:pPr>
        <w:pStyle w:val="FootnoteText"/>
      </w:pPr>
      <w:r w:rsidRPr="00AF1182">
        <w:rPr>
          <w:rStyle w:val="FootnoteReference"/>
          <w:sz w:val="16"/>
        </w:rPr>
        <w:footnoteRef/>
      </w:r>
      <w:r>
        <w:t xml:space="preserve"> </w:t>
      </w:r>
      <w:r>
        <w:rPr>
          <w:i/>
          <w:iCs/>
        </w:rPr>
        <w:t>COVID-19 Omnibus (Emergency Measures) Act 2020</w:t>
      </w:r>
      <w:r>
        <w:t xml:space="preserve"> (Vic) s 30 temporarily </w:t>
      </w:r>
      <w:r w:rsidRPr="00AF1182">
        <w:t>enables</w:t>
      </w:r>
      <w:r>
        <w:t xml:space="preserve"> fitness to stand trial to be determined by a judge alone.</w:t>
      </w:r>
    </w:p>
  </w:footnote>
  <w:footnote w:id="189">
    <w:p w14:paraId="12F13DBE" w14:textId="0C299852" w:rsidR="00D80102" w:rsidRPr="00AF1182" w:rsidRDefault="00D80102" w:rsidP="006759A6">
      <w:pPr>
        <w:pStyle w:val="FootnoteText"/>
      </w:pPr>
      <w:r w:rsidRPr="00AF1182">
        <w:rPr>
          <w:rStyle w:val="FootnoteReference"/>
          <w:sz w:val="16"/>
        </w:rPr>
        <w:footnoteRef/>
      </w:r>
      <w:r w:rsidRPr="00AF1182">
        <w:t xml:space="preserve"> This could be achieved through empowering magistrates to order an assessment by a registered medical practitioner or a registered psychologist, as to whether the accused is fit to plead or contest a matter, or is likely to become fit within a particular period, and any measures that would assist the accused to become fit to proceed in the Magistrates’ Court. The court could then be empowered to </w:t>
      </w:r>
      <w:proofErr w:type="gramStart"/>
      <w:r w:rsidRPr="00AF1182">
        <w:t>make a determination</w:t>
      </w:r>
      <w:proofErr w:type="gramEnd"/>
      <w:r w:rsidRPr="00AF1182">
        <w:t xml:space="preserve"> of fitness and draw on the appropriate disposition options.</w:t>
      </w:r>
      <w:r>
        <w:t xml:space="preserve"> </w:t>
      </w:r>
      <w:r w:rsidRPr="009F4745">
        <w:t>We do not propose that fitness determinations should be managed by ARC. ARC is a plea court, it is focused on participants’ recovery, working towards a common goal, and requires participants to be actively engaged with treatment and case management.</w:t>
      </w:r>
    </w:p>
  </w:footnote>
  <w:footnote w:id="190">
    <w:p w14:paraId="073DDD66" w14:textId="03B02792" w:rsidR="00D80102" w:rsidRPr="00F55743" w:rsidRDefault="00D80102">
      <w:pPr>
        <w:pStyle w:val="FootnoteText"/>
      </w:pPr>
      <w:r>
        <w:rPr>
          <w:rStyle w:val="FootnoteReference"/>
        </w:rPr>
        <w:footnoteRef/>
      </w:r>
      <w:r>
        <w:t xml:space="preserve"> </w:t>
      </w:r>
      <w:r>
        <w:rPr>
          <w:i/>
          <w:iCs/>
        </w:rPr>
        <w:t>Sentencing Act 1991</w:t>
      </w:r>
      <w:r>
        <w:t xml:space="preserve"> (Vic) s 90; </w:t>
      </w:r>
      <w:r>
        <w:rPr>
          <w:i/>
          <w:iCs/>
        </w:rPr>
        <w:t>Mental Health Act 2014</w:t>
      </w:r>
      <w:r>
        <w:t xml:space="preserve"> (Vic) ss 39 – 44.</w:t>
      </w:r>
    </w:p>
  </w:footnote>
  <w:footnote w:id="191">
    <w:p w14:paraId="48FF3952" w14:textId="32C5321E" w:rsidR="00D80102" w:rsidRDefault="00D80102">
      <w:pPr>
        <w:pStyle w:val="FootnoteText"/>
      </w:pPr>
      <w:r>
        <w:rPr>
          <w:rStyle w:val="FootnoteReference"/>
        </w:rPr>
        <w:footnoteRef/>
      </w:r>
      <w:r>
        <w:t xml:space="preserve"> </w:t>
      </w:r>
      <w:r w:rsidRPr="00B0481F">
        <w:rPr>
          <w:i/>
          <w:iCs/>
        </w:rPr>
        <w:t>Mental Health (Forensic Provisions) Act 1990</w:t>
      </w:r>
      <w:r w:rsidRPr="00B0481F">
        <w:t xml:space="preserve"> (NSW)</w:t>
      </w:r>
      <w:r>
        <w:t>. NSW m</w:t>
      </w:r>
      <w:r>
        <w:rPr>
          <w:color w:val="000000"/>
          <w:lang w:eastAsia="en-AU"/>
        </w:rPr>
        <w:t xml:space="preserve">agistrates have several options, from including discharging a person unconditionally, </w:t>
      </w:r>
      <w:r>
        <w:rPr>
          <w:color w:val="000000"/>
        </w:rPr>
        <w:t>into the care of a responsible person (unconditionally or subject to conditions), or on the condition that the defendant attend for assessment or treatment (if the defendant is found on assessment not to be a mentally ill person or mentally disordered person, the defendant can be brought back before a magistrate or granted bail by a police officer):</w:t>
      </w:r>
      <w:r w:rsidRPr="001F78B9">
        <w:rPr>
          <w:color w:val="000000"/>
          <w:lang w:eastAsia="en-AU"/>
        </w:rPr>
        <w:t xml:space="preserve"> </w:t>
      </w:r>
      <w:r>
        <w:rPr>
          <w:color w:val="000000"/>
          <w:lang w:eastAsia="en-AU"/>
        </w:rPr>
        <w:t>s 32(3), s 33(1).</w:t>
      </w:r>
    </w:p>
  </w:footnote>
  <w:footnote w:id="192">
    <w:p w14:paraId="0246C9CC" w14:textId="0F7391B6" w:rsidR="00D80102" w:rsidRDefault="00D80102">
      <w:pPr>
        <w:pStyle w:val="FootnoteText"/>
      </w:pPr>
      <w:r>
        <w:rPr>
          <w:rStyle w:val="FootnoteReference"/>
        </w:rPr>
        <w:footnoteRef/>
      </w:r>
      <w:r>
        <w:t xml:space="preserve"> Magistrates may make a </w:t>
      </w:r>
      <w:r>
        <w:rPr>
          <w:lang w:eastAsia="en-AU"/>
        </w:rPr>
        <w:t>Community Treatment Order</w:t>
      </w:r>
      <w:r>
        <w:t xml:space="preserve"> </w:t>
      </w:r>
      <w:r>
        <w:rPr>
          <w:lang w:eastAsia="en-AU"/>
        </w:rPr>
        <w:t xml:space="preserve">for </w:t>
      </w:r>
      <w:r>
        <w:t>implementation</w:t>
      </w:r>
      <w:r>
        <w:rPr>
          <w:lang w:eastAsia="en-AU"/>
        </w:rPr>
        <w:t xml:space="preserve"> by a declared mental health facility as if the order were made under the</w:t>
      </w:r>
      <w:r w:rsidRPr="00F83B81">
        <w:rPr>
          <w:lang w:eastAsia="en-AU"/>
        </w:rPr>
        <w:t xml:space="preserve"> </w:t>
      </w:r>
      <w:r>
        <w:rPr>
          <w:i/>
          <w:iCs/>
          <w:lang w:eastAsia="en-AU"/>
        </w:rPr>
        <w:t>Mental Health Act 2007</w:t>
      </w:r>
      <w:r>
        <w:rPr>
          <w:lang w:eastAsia="en-AU"/>
        </w:rPr>
        <w:t xml:space="preserve">: </w:t>
      </w:r>
      <w:r>
        <w:rPr>
          <w:i/>
          <w:lang w:eastAsia="en-AU"/>
        </w:rPr>
        <w:t xml:space="preserve">Mental Health </w:t>
      </w:r>
      <w:r>
        <w:rPr>
          <w:i/>
          <w:iCs/>
        </w:rPr>
        <w:t xml:space="preserve">(Forensic Provisions) Act 1990 </w:t>
      </w:r>
      <w:r>
        <w:t xml:space="preserve">(NSW) </w:t>
      </w:r>
      <w:r>
        <w:rPr>
          <w:color w:val="000000"/>
          <w:lang w:eastAsia="en-AU"/>
        </w:rPr>
        <w:t>s 33(1A).</w:t>
      </w:r>
      <w:r w:rsidRPr="00746B52">
        <w:rPr>
          <w:lang w:eastAsia="en-AU"/>
        </w:rPr>
        <w:t xml:space="preserve"> </w:t>
      </w:r>
      <w:r>
        <w:rPr>
          <w:lang w:eastAsia="en-AU"/>
        </w:rPr>
        <w:t xml:space="preserve">The </w:t>
      </w:r>
      <w:r>
        <w:rPr>
          <w:i/>
          <w:iCs/>
        </w:rPr>
        <w:t xml:space="preserve">Mental Health (Forensic Provisions) Act 1990 </w:t>
      </w:r>
      <w:r>
        <w:t xml:space="preserve">(NSW) </w:t>
      </w:r>
      <w:r>
        <w:rPr>
          <w:lang w:eastAsia="en-AU"/>
        </w:rPr>
        <w:t>specifies that the </w:t>
      </w:r>
      <w:r>
        <w:rPr>
          <w:i/>
          <w:iCs/>
          <w:lang w:eastAsia="en-AU"/>
        </w:rPr>
        <w:t>Mental Health Act 2007</w:t>
      </w:r>
      <w:r>
        <w:rPr>
          <w:lang w:eastAsia="en-AU"/>
        </w:rPr>
        <w:t> applies as if the order had been made by the Mental Health Review Tribunal, and that the magistrate must notify the Secretary of the Ministry of Health of the proposed order (s33(1B), (1C)).</w:t>
      </w:r>
    </w:p>
  </w:footnote>
  <w:footnote w:id="193">
    <w:p w14:paraId="70B843C4" w14:textId="722B3D69" w:rsidR="00D80102" w:rsidRDefault="00D80102">
      <w:pPr>
        <w:pStyle w:val="FootnoteText"/>
      </w:pPr>
      <w:r>
        <w:rPr>
          <w:rStyle w:val="FootnoteReference"/>
        </w:rPr>
        <w:footnoteRef/>
      </w:r>
      <w:r>
        <w:t xml:space="preserve"> </w:t>
      </w:r>
      <w:r>
        <w:rPr>
          <w:i/>
          <w:iCs/>
        </w:rPr>
        <w:t xml:space="preserve">Mental Health (Forensic Provisions) Act 1990 </w:t>
      </w:r>
      <w:r>
        <w:t xml:space="preserve">(NSW) </w:t>
      </w:r>
      <w:r>
        <w:rPr>
          <w:lang w:eastAsia="en-AU"/>
        </w:rPr>
        <w:t>s 33(2). The</w:t>
      </w:r>
      <w:r>
        <w:rPr>
          <w:i/>
          <w:iCs/>
          <w:lang w:eastAsia="en-AU"/>
        </w:rPr>
        <w:t xml:space="preserve"> Mental Health Act 2007</w:t>
      </w:r>
      <w:r>
        <w:rPr>
          <w:lang w:eastAsia="en-AU"/>
        </w:rPr>
        <w:t xml:space="preserve"> (NSW) </w:t>
      </w:r>
      <w:r>
        <w:t>completes</w:t>
      </w:r>
      <w:r>
        <w:rPr>
          <w:lang w:eastAsia="en-AU"/>
        </w:rPr>
        <w:t xml:space="preserve"> the framework, by stating that if a person has been detained by a magistrate to a mental health facility under the Mental Health Forensic Provisions Act, an authorised medical officer may: detain a person, admit a person as a voluntary patient, discharge a person </w:t>
      </w:r>
      <w:r>
        <w:rPr>
          <w:color w:val="000000"/>
          <w:lang w:eastAsia="en-AU"/>
        </w:rPr>
        <w:t>into the care of a designated carer or principal carer, or discharge the person unconditionally (s31(4)).</w:t>
      </w:r>
    </w:p>
  </w:footnote>
  <w:footnote w:id="194">
    <w:p w14:paraId="2D99AF81" w14:textId="53207225" w:rsidR="00D80102" w:rsidRDefault="00D80102">
      <w:pPr>
        <w:pStyle w:val="FootnoteText"/>
      </w:pPr>
      <w:r>
        <w:rPr>
          <w:rStyle w:val="FootnoteReference"/>
        </w:rPr>
        <w:footnoteRef/>
      </w:r>
      <w:r>
        <w:t xml:space="preserve"> </w:t>
      </w:r>
      <w:r w:rsidRPr="00B05B27">
        <w:t xml:space="preserve">We note that in </w:t>
      </w:r>
      <w:r w:rsidRPr="00E630C0">
        <w:t xml:space="preserve">Victoria the previous Restrictive Involuntary Treatment Order </w:t>
      </w:r>
      <w:r w:rsidRPr="00AC258C">
        <w:t>option in the Magistrates’</w:t>
      </w:r>
      <w:r w:rsidRPr="00BC45F0">
        <w:t xml:space="preserve"> Court was repealed</w:t>
      </w:r>
      <w:r>
        <w:t>. This order was not successful due in part to a lack of resourcing.</w:t>
      </w:r>
    </w:p>
  </w:footnote>
  <w:footnote w:id="195">
    <w:p w14:paraId="69A993DA" w14:textId="08B688BA" w:rsidR="00D80102" w:rsidRPr="00754369" w:rsidRDefault="00D80102" w:rsidP="00CE1168">
      <w:pPr>
        <w:pStyle w:val="FootnoteText"/>
      </w:pPr>
      <w:r w:rsidRPr="00754369">
        <w:rPr>
          <w:rStyle w:val="FootnoteReference"/>
        </w:rPr>
        <w:footnoteRef/>
      </w:r>
      <w:r w:rsidRPr="00754369">
        <w:t xml:space="preserve"> Including misaligned catchment areas and service levels</w:t>
      </w:r>
      <w:r>
        <w:t xml:space="preserve">: </w:t>
      </w:r>
      <w:r w:rsidRPr="00AF1182">
        <w:rPr>
          <w:lang w:val="en-US"/>
        </w:rPr>
        <w:t>Victorian Auditor General’s Office</w:t>
      </w:r>
      <w:r>
        <w:rPr>
          <w:lang w:val="en-US"/>
        </w:rPr>
        <w:t xml:space="preserve"> (n 72) 51.</w:t>
      </w:r>
      <w:r w:rsidRPr="00AF1182">
        <w:rPr>
          <w:lang w:val="en-US"/>
        </w:rPr>
        <w:t xml:space="preserve"> </w:t>
      </w:r>
    </w:p>
  </w:footnote>
  <w:footnote w:id="196">
    <w:p w14:paraId="317401EA" w14:textId="77777777" w:rsidR="00D80102" w:rsidRPr="00AF1182" w:rsidRDefault="00D80102" w:rsidP="00A505AB">
      <w:pPr>
        <w:pStyle w:val="FootnoteText"/>
      </w:pPr>
      <w:r w:rsidRPr="00AF1182">
        <w:rPr>
          <w:rStyle w:val="FootnoteReference"/>
          <w:sz w:val="16"/>
        </w:rPr>
        <w:footnoteRef/>
      </w:r>
      <w:r w:rsidRPr="00AF1182">
        <w:t xml:space="preserve"> Forensicare’s supervision framework, based on the indictable jurisdiction CMIA system, may be too intensive for the type of offending dealt with in the summary jurisdiction. A summary NSCO may need a corresponding lighter supervision service, or potentially through Forensicare’s Professional Development Program, in which Forensicare provides forensic information and support to </w:t>
      </w:r>
      <w:r>
        <w:t>Designated</w:t>
      </w:r>
      <w:r w:rsidRPr="00AF1182">
        <w:t xml:space="preserve"> Mental Health Service clinicians. Forensicare would need to be resourced in order to accommodate an expanded service for a new cohort.</w:t>
      </w:r>
    </w:p>
  </w:footnote>
  <w:footnote w:id="197">
    <w:p w14:paraId="1F383FC1" w14:textId="0BC4B73F" w:rsidR="00D80102" w:rsidRPr="00AF1182" w:rsidRDefault="00D80102" w:rsidP="006759A6">
      <w:pPr>
        <w:pStyle w:val="FootnoteText"/>
      </w:pPr>
      <w:r w:rsidRPr="00AF1182">
        <w:rPr>
          <w:rStyle w:val="FootnoteReference"/>
          <w:sz w:val="16"/>
        </w:rPr>
        <w:footnoteRef/>
      </w:r>
      <w:r w:rsidRPr="00AF1182">
        <w:t xml:space="preserve"> </w:t>
      </w:r>
      <w:r w:rsidRPr="00AF1182">
        <w:rPr>
          <w:i/>
        </w:rPr>
        <w:t xml:space="preserve">Sentencing Act 1991 </w:t>
      </w:r>
      <w:r w:rsidRPr="00AF1182">
        <w:t xml:space="preserve">(Vic) s 80. VLA supports the expansion of this sanction to people with other diagnosed cognitive </w:t>
      </w:r>
      <w:r>
        <w:t xml:space="preserve">or mental health </w:t>
      </w:r>
      <w:r w:rsidRPr="00AF1182">
        <w:t>conditions, to ensure that there are appropriately tailored therapeutic and appropriate sentencing alternatives.</w:t>
      </w:r>
    </w:p>
  </w:footnote>
  <w:footnote w:id="198">
    <w:p w14:paraId="757C5817" w14:textId="265C78C4" w:rsidR="00D80102" w:rsidRPr="00AF1182" w:rsidRDefault="00D80102" w:rsidP="005E2019">
      <w:pPr>
        <w:pStyle w:val="FootnoteText"/>
      </w:pPr>
      <w:r w:rsidRPr="00AF1182">
        <w:rPr>
          <w:rStyle w:val="FootnoteReference"/>
          <w:sz w:val="16"/>
        </w:rPr>
        <w:footnoteRef/>
      </w:r>
      <w:r w:rsidRPr="00AF1182">
        <w:t xml:space="preserve"> Of the Victorian offenders who were discharged from Community Corrections Orders </w:t>
      </w:r>
      <w:r w:rsidRPr="004032DB">
        <w:rPr>
          <w:b/>
        </w:rPr>
        <w:t>(CCO)</w:t>
      </w:r>
      <w:r w:rsidRPr="00AF1182">
        <w:t xml:space="preserve"> in 2015–16, 13.9</w:t>
      </w:r>
      <w:r>
        <w:t xml:space="preserve"> per cent</w:t>
      </w:r>
      <w:r w:rsidRPr="00AF1182">
        <w:t xml:space="preserve"> had returned with a new community correctional sanction within two years. In comparison, of the prisoners who were released in 2015–16, 43.7</w:t>
      </w:r>
      <w:r>
        <w:t xml:space="preserve"> per cent</w:t>
      </w:r>
      <w:r w:rsidRPr="00AF1182">
        <w:t xml:space="preserve"> had returned to prison under sentence within two years of release</w:t>
      </w:r>
      <w:r>
        <w:t>:</w:t>
      </w:r>
      <w:r w:rsidRPr="00AF1182">
        <w:t xml:space="preserve"> </w:t>
      </w:r>
      <w:r w:rsidRPr="0017298A">
        <w:t>Corrections Victoria, Corrections Statistics: Quick Reference (</w:t>
      </w:r>
      <w:r w:rsidRPr="004032DB">
        <w:t xml:space="preserve">Web Page, 30 June </w:t>
      </w:r>
      <w:r w:rsidRPr="0017298A">
        <w:t>2019) &lt;</w:t>
      </w:r>
      <w:hyperlink r:id="rId42" w:history="1">
        <w:r w:rsidRPr="00FC1684">
          <w:rPr>
            <w:rStyle w:val="Hyperlink"/>
          </w:rPr>
          <w:t>https://www.corrections.vic.gov.au/prisons/corrections-statistics-quick-reference</w:t>
        </w:r>
      </w:hyperlink>
      <w:r w:rsidRPr="00713942">
        <w:t>&gt;.</w:t>
      </w:r>
      <w:r w:rsidRPr="00975017">
        <w:t xml:space="preserve"> </w:t>
      </w:r>
    </w:p>
  </w:footnote>
  <w:footnote w:id="199">
    <w:p w14:paraId="3E4C562D" w14:textId="4F587A6F" w:rsidR="00D80102" w:rsidRPr="00AF1182" w:rsidRDefault="00D80102" w:rsidP="005E2019">
      <w:pPr>
        <w:pStyle w:val="FootnoteText"/>
      </w:pPr>
      <w:r w:rsidRPr="00AF1182">
        <w:rPr>
          <w:rStyle w:val="FootnoteReference"/>
          <w:sz w:val="16"/>
        </w:rPr>
        <w:footnoteRef/>
      </w:r>
      <w:r w:rsidRPr="00AF1182">
        <w:t xml:space="preserve"> </w:t>
      </w:r>
      <w:r>
        <w:t xml:space="preserve">The Productivity Commission showed that the percentage of released prisoners who returned to either prison or community corrections was 54.9 per cent; in contrast only 23.9 per cent of offenders who served community corrections orders returned to either prison or community corrections within two years: </w:t>
      </w:r>
      <w:r w:rsidRPr="00AF1182">
        <w:t xml:space="preserve">Productivity Commission, </w:t>
      </w:r>
      <w:r w:rsidRPr="00AF1182">
        <w:rPr>
          <w:i/>
          <w:iCs/>
        </w:rPr>
        <w:t>Report on Government Services 2020 Part C: Justice</w:t>
      </w:r>
      <w:r>
        <w:t xml:space="preserve"> (Report,</w:t>
      </w:r>
      <w:r w:rsidRPr="00AF1182">
        <w:t xml:space="preserve"> January 2020</w:t>
      </w:r>
      <w:r>
        <w:t>) &lt;</w:t>
      </w:r>
      <w:hyperlink r:id="rId43" w:history="1">
        <w:r w:rsidRPr="00D07274">
          <w:rPr>
            <w:rStyle w:val="Hyperlink"/>
          </w:rPr>
          <w:t>https://www.pc.gov.au/research/ongoing/report-on-government-services/2020/justice</w:t>
        </w:r>
      </w:hyperlink>
      <w:r>
        <w:t>&gt;.</w:t>
      </w:r>
    </w:p>
  </w:footnote>
  <w:footnote w:id="200">
    <w:p w14:paraId="1192E4E0" w14:textId="46D64D6F" w:rsidR="00D80102" w:rsidRPr="004D029F" w:rsidRDefault="00D80102" w:rsidP="005E2019">
      <w:pPr>
        <w:pStyle w:val="FootnoteText"/>
      </w:pPr>
      <w:r w:rsidRPr="00CC0D7C">
        <w:rPr>
          <w:rStyle w:val="FootnoteReference"/>
        </w:rPr>
        <w:footnoteRef/>
      </w:r>
      <w:r>
        <w:t xml:space="preserve"> ‘Ministers consider ending jail terms of six months or less’, </w:t>
      </w:r>
      <w:r>
        <w:rPr>
          <w:i/>
          <w:iCs/>
        </w:rPr>
        <w:t xml:space="preserve">BBC News </w:t>
      </w:r>
      <w:r>
        <w:t>(online, 12 January 2019) &lt;</w:t>
      </w:r>
      <w:hyperlink r:id="rId44" w:history="1">
        <w:r w:rsidRPr="00447D9E">
          <w:rPr>
            <w:rStyle w:val="Hyperlink"/>
          </w:rPr>
          <w:t>https://www.bbc.com/news/uk-46847162</w:t>
        </w:r>
      </w:hyperlink>
      <w:r>
        <w:t>; Helen Mills, ‘“</w:t>
      </w:r>
      <w:r w:rsidRPr="00EE761A">
        <w:t>Stopping short?</w:t>
      </w:r>
      <w:r>
        <w:t xml:space="preserve">” </w:t>
      </w:r>
      <w:r w:rsidRPr="00EE761A">
        <w:t>Sentencing reform</w:t>
      </w:r>
      <w:r>
        <w:t xml:space="preserve"> </w:t>
      </w:r>
      <w:r w:rsidRPr="00EE761A">
        <w:t>and short prison sentences</w:t>
      </w:r>
      <w:r>
        <w:t xml:space="preserve">’ (2019) 6 </w:t>
      </w:r>
      <w:r w:rsidRPr="00CC177C">
        <w:rPr>
          <w:i/>
          <w:iCs/>
        </w:rPr>
        <w:t>UK Justice Policy Review</w:t>
      </w:r>
      <w:r>
        <w:t>.</w:t>
      </w:r>
      <w:r w:rsidRPr="004D029F">
        <w:t xml:space="preserve"> </w:t>
      </w:r>
    </w:p>
  </w:footnote>
  <w:footnote w:id="201">
    <w:p w14:paraId="6B42F57C" w14:textId="3267B42B" w:rsidR="00D80102" w:rsidRDefault="00D80102">
      <w:pPr>
        <w:pStyle w:val="FootnoteText"/>
      </w:pPr>
      <w:r>
        <w:rPr>
          <w:rStyle w:val="FootnoteReference"/>
        </w:rPr>
        <w:footnoteRef/>
      </w:r>
      <w:r>
        <w:t xml:space="preserve"> ALRC, </w:t>
      </w:r>
      <w:r w:rsidRPr="00F4235B">
        <w:rPr>
          <w:i/>
          <w:iCs/>
        </w:rPr>
        <w:t xml:space="preserve">Incarceration Rates </w:t>
      </w:r>
      <w:proofErr w:type="gramStart"/>
      <w:r w:rsidRPr="00F4235B">
        <w:rPr>
          <w:i/>
          <w:iCs/>
        </w:rPr>
        <w:t>Of</w:t>
      </w:r>
      <w:proofErr w:type="gramEnd"/>
      <w:r w:rsidRPr="00F4235B">
        <w:rPr>
          <w:i/>
          <w:iCs/>
        </w:rPr>
        <w:t xml:space="preserve"> Aboriginal And Torres Strait Islander Peoples </w:t>
      </w:r>
      <w:r w:rsidRPr="00F4235B">
        <w:t>(</w:t>
      </w:r>
      <w:r>
        <w:t>Discussion Paper, 19 July 2017</w:t>
      </w:r>
      <w:r w:rsidRPr="00F4235B">
        <w:t>)</w:t>
      </w:r>
      <w:r>
        <w:t xml:space="preserve"> 87.</w:t>
      </w:r>
    </w:p>
  </w:footnote>
  <w:footnote w:id="202">
    <w:p w14:paraId="095422DE" w14:textId="6D14DD3C" w:rsidR="00D80102" w:rsidRDefault="00D80102" w:rsidP="008F7944">
      <w:pPr>
        <w:pStyle w:val="FootnoteText"/>
      </w:pPr>
      <w:r>
        <w:rPr>
          <w:rStyle w:val="FootnoteReference"/>
        </w:rPr>
        <w:footnoteRef/>
      </w:r>
      <w:r>
        <w:t xml:space="preserve"> </w:t>
      </w:r>
      <w:r w:rsidRPr="0041105E">
        <w:rPr>
          <w:i/>
          <w:iCs/>
          <w:lang w:eastAsia="en-AU"/>
        </w:rPr>
        <w:t xml:space="preserve">Crimes (Sentencing Procedure) Act 1999 </w:t>
      </w:r>
      <w:r>
        <w:rPr>
          <w:lang w:eastAsia="en-AU"/>
        </w:rPr>
        <w:t xml:space="preserve">(NSW) s 5. The ALRC discusses short sentences in </w:t>
      </w:r>
      <w:r w:rsidRPr="00651DD8">
        <w:rPr>
          <w:i/>
          <w:lang w:eastAsia="en-AU"/>
        </w:rPr>
        <w:t>Pathways to Justice</w:t>
      </w:r>
      <w:r>
        <w:rPr>
          <w:lang w:eastAsia="en-AU"/>
        </w:rPr>
        <w:t xml:space="preserve">, concluding that short sentences have a multitude of detrimental impacts and are highly problematic. The ALRC recommended that short sentences should not be abolished </w:t>
      </w:r>
      <w:r>
        <w:rPr>
          <w:i/>
          <w:iCs/>
          <w:lang w:eastAsia="en-AU"/>
        </w:rPr>
        <w:t>until appropriate community-based sentencing options are created and resourced</w:t>
      </w:r>
      <w:r>
        <w:rPr>
          <w:lang w:eastAsia="en-AU"/>
        </w:rPr>
        <w:t xml:space="preserve">, out of concern for people living in remote NSW where community-based sentences “are often not available.” The ALRC explicitly noted that “there are no remote communities in Victoria” and praised Victoria’s CCO regime. </w:t>
      </w:r>
    </w:p>
  </w:footnote>
  <w:footnote w:id="203">
    <w:p w14:paraId="4B6327C3" w14:textId="77777777" w:rsidR="00D80102" w:rsidRPr="00AF1182" w:rsidRDefault="00D80102" w:rsidP="005E2019">
      <w:pPr>
        <w:pStyle w:val="FootnoteText"/>
        <w:rPr>
          <w:lang w:val="en-US"/>
        </w:rPr>
      </w:pPr>
      <w:r w:rsidRPr="00AF1182">
        <w:rPr>
          <w:rStyle w:val="FootnoteReference"/>
          <w:sz w:val="16"/>
        </w:rPr>
        <w:footnoteRef/>
      </w:r>
      <w:r w:rsidRPr="00AF1182">
        <w:t xml:space="preserve"> The evaluation calculated that the cost of the successful completion of the program was about $3000 per client, compared with $24741 per client for a successful CCO completion</w:t>
      </w:r>
      <w:r>
        <w:t xml:space="preserve">. The evaluation was conducted by </w:t>
      </w:r>
      <w:r w:rsidRPr="007C316A">
        <w:t>PricewaterhouseCoopers</w:t>
      </w:r>
      <w:r>
        <w:t xml:space="preserve"> in </w:t>
      </w:r>
      <w:r w:rsidRPr="003872BB">
        <w:t>December 2018</w:t>
      </w:r>
      <w:r w:rsidRPr="00AF1182">
        <w:t xml:space="preserve">: Kerry Cowling, </w:t>
      </w:r>
      <w:r>
        <w:t>‘</w:t>
      </w:r>
      <w:r w:rsidRPr="00AF1182">
        <w:t>Transitional Transformation: Interventions that Work for Young Adults (18-25 years) Involved in the Criminal Justice System</w:t>
      </w:r>
      <w:r>
        <w:t xml:space="preserve">’ (Conference </w:t>
      </w:r>
      <w:r w:rsidRPr="00AF1182">
        <w:t>Paper</w:t>
      </w:r>
      <w:r>
        <w:t>,</w:t>
      </w:r>
      <w:r w:rsidRPr="00AF1182">
        <w:t xml:space="preserve"> </w:t>
      </w:r>
      <w:r>
        <w:t>International Criminal Law Conference</w:t>
      </w:r>
      <w:r w:rsidRPr="00AF1182">
        <w:t>, 20 November 2019</w:t>
      </w:r>
      <w:r>
        <w:t xml:space="preserve">). </w:t>
      </w:r>
    </w:p>
  </w:footnote>
  <w:footnote w:id="204">
    <w:p w14:paraId="79902564" w14:textId="7106741C" w:rsidR="00D80102" w:rsidRPr="004E5892" w:rsidRDefault="00D80102">
      <w:pPr>
        <w:pStyle w:val="FootnoteText"/>
      </w:pPr>
      <w:r>
        <w:rPr>
          <w:rStyle w:val="FootnoteReference"/>
        </w:rPr>
        <w:footnoteRef/>
      </w:r>
      <w:r>
        <w:t xml:space="preserve"> The ALRC said </w:t>
      </w:r>
      <w:r w:rsidRPr="0092225E">
        <w:t>“the Victorian CCO regime represents an example of a sentencing model that allows for flexibility in both the sentencing structure and the imposition of conditions”</w:t>
      </w:r>
      <w:r>
        <w:t xml:space="preserve">, </w:t>
      </w:r>
      <w:r w:rsidRPr="00396AF1">
        <w:rPr>
          <w:i/>
          <w:iCs/>
        </w:rPr>
        <w:t>Pathways to Justice</w:t>
      </w:r>
      <w:r>
        <w:t xml:space="preserve"> (n </w:t>
      </w:r>
      <w:r>
        <w:fldChar w:fldCharType="begin"/>
      </w:r>
      <w:r>
        <w:instrText xml:space="preserve"> NOTEREF _Ref41249593 \h </w:instrText>
      </w:r>
      <w:r>
        <w:fldChar w:fldCharType="separate"/>
      </w:r>
      <w:r>
        <w:t>153</w:t>
      </w:r>
      <w:r>
        <w:fldChar w:fldCharType="end"/>
      </w:r>
      <w:r>
        <w:t>) 248.</w:t>
      </w:r>
    </w:p>
  </w:footnote>
  <w:footnote w:id="205">
    <w:p w14:paraId="2FD6C6B0" w14:textId="6CD8FEFE" w:rsidR="00D80102" w:rsidRPr="00AF1182" w:rsidRDefault="00D80102" w:rsidP="006759A6">
      <w:pPr>
        <w:pStyle w:val="FootnoteText"/>
      </w:pPr>
      <w:r w:rsidRPr="00AF1182">
        <w:rPr>
          <w:rStyle w:val="FootnoteReference"/>
          <w:rFonts w:eastAsia="Arial"/>
          <w:sz w:val="16"/>
        </w:rPr>
        <w:footnoteRef/>
      </w:r>
      <w:r w:rsidRPr="00AF1182">
        <w:t xml:space="preserve"> As noted in</w:t>
      </w:r>
      <w:r>
        <w:t>:</w:t>
      </w:r>
      <w:r w:rsidRPr="00AF1182">
        <w:t xml:space="preserve"> Victorian Auditor-General’s </w:t>
      </w:r>
      <w:r>
        <w:t>Office,</w:t>
      </w:r>
      <w:r w:rsidRPr="00AF1182">
        <w:t xml:space="preserve"> </w:t>
      </w:r>
      <w:r w:rsidRPr="00AF1182">
        <w:rPr>
          <w:i/>
        </w:rPr>
        <w:t xml:space="preserve">Managing Community Corrections Orders </w:t>
      </w:r>
      <w:r w:rsidRPr="00AF1182">
        <w:t>(</w:t>
      </w:r>
      <w:r>
        <w:t xml:space="preserve">Report, </w:t>
      </w:r>
      <w:r w:rsidRPr="00AF1182">
        <w:t>February 2017) &lt;</w:t>
      </w:r>
      <w:hyperlink r:id="rId45" w:history="1">
        <w:r w:rsidRPr="00FC1684">
          <w:rPr>
            <w:rStyle w:val="Hyperlink"/>
          </w:rPr>
          <w:t>https://www.audit.vic.gov.au/sites/default/files/20170208-Community-Corrections.pdf</w:t>
        </w:r>
      </w:hyperlink>
      <w:r w:rsidRPr="00AF1182">
        <w:t xml:space="preserve">&gt;. </w:t>
      </w:r>
    </w:p>
  </w:footnote>
  <w:footnote w:id="206">
    <w:p w14:paraId="74A45AB0" w14:textId="1BDB5F82" w:rsidR="00D80102" w:rsidRDefault="00D80102">
      <w:pPr>
        <w:pStyle w:val="FootnoteText"/>
      </w:pPr>
      <w:r>
        <w:rPr>
          <w:rStyle w:val="FootnoteReference"/>
        </w:rPr>
        <w:footnoteRef/>
      </w:r>
      <w:r>
        <w:t xml:space="preserve"> The example of the Visy cares hub, referred to above in relation to community sentences (page 54), has been evaluated as cheaper and more effective than a CCO for young people with complex needs.</w:t>
      </w:r>
    </w:p>
  </w:footnote>
  <w:footnote w:id="207">
    <w:p w14:paraId="39CD5CC6" w14:textId="014C3440" w:rsidR="00D80102" w:rsidRPr="00AF1182" w:rsidRDefault="00D80102" w:rsidP="007C62AD">
      <w:pPr>
        <w:pStyle w:val="FootnoteText"/>
      </w:pPr>
      <w:r w:rsidRPr="00AF1182">
        <w:rPr>
          <w:rStyle w:val="FootnoteReference"/>
          <w:sz w:val="16"/>
        </w:rPr>
        <w:footnoteRef/>
      </w:r>
      <w:r w:rsidRPr="00AF1182">
        <w:t xml:space="preserve"> Forensicare, </w:t>
      </w:r>
      <w:r w:rsidRPr="006F2780">
        <w:rPr>
          <w:i/>
        </w:rPr>
        <w:t>Submission to the Royal Commission into Victoria’s Mental Health System</w:t>
      </w:r>
      <w:r w:rsidRPr="00AF1182">
        <w:t xml:space="preserve"> (</w:t>
      </w:r>
      <w:r>
        <w:t xml:space="preserve">Submission </w:t>
      </w:r>
      <w:r w:rsidRPr="00AF1182">
        <w:t>July 2019) (</w:t>
      </w:r>
      <w:r w:rsidRPr="00AF1182">
        <w:rPr>
          <w:b/>
        </w:rPr>
        <w:t>Forensicare Submission</w:t>
      </w:r>
      <w:r w:rsidRPr="00AF1182">
        <w:t>) 2</w:t>
      </w:r>
      <w:r>
        <w:t xml:space="preserve">; </w:t>
      </w:r>
      <w:r w:rsidRPr="00AF1182">
        <w:t xml:space="preserve">Royal Commission </w:t>
      </w:r>
      <w:r>
        <w:t>Interim Report (n 6) 165</w:t>
      </w:r>
      <w:r w:rsidRPr="00AF1182">
        <w:t>.</w:t>
      </w:r>
    </w:p>
  </w:footnote>
  <w:footnote w:id="208">
    <w:p w14:paraId="7C600D2F" w14:textId="3236FFCE" w:rsidR="00D80102" w:rsidRPr="00AF1182" w:rsidRDefault="00D80102" w:rsidP="00846755">
      <w:pPr>
        <w:pStyle w:val="FootnoteText"/>
      </w:pPr>
      <w:r w:rsidRPr="00AF1182">
        <w:rPr>
          <w:rStyle w:val="FootnoteReference"/>
          <w:rFonts w:eastAsia="Arial"/>
          <w:sz w:val="16"/>
        </w:rPr>
        <w:footnoteRef/>
      </w:r>
      <w:r w:rsidRPr="00AF1182">
        <w:t xml:space="preserve"> There were 7,666 prisoners in the Victorian prison system on 30 June 2018. This represents an increase of 81.</w:t>
      </w:r>
      <w:r>
        <w:t>5 per cent</w:t>
      </w:r>
      <w:r w:rsidRPr="00AF1182">
        <w:t xml:space="preserve"> on the 30 June 2008 figure of 4,223: </w:t>
      </w:r>
      <w:r w:rsidRPr="0017298A">
        <w:t>Corrections Victoria, Corrections Statistics: Quick Reference (</w:t>
      </w:r>
      <w:r w:rsidRPr="00CE10C9">
        <w:t xml:space="preserve">Web Page, 30 June </w:t>
      </w:r>
      <w:r w:rsidRPr="0017298A">
        <w:t xml:space="preserve">2019) </w:t>
      </w:r>
      <w:r w:rsidRPr="00042102">
        <w:t>&lt;https://www.corrections.vic.gov.au/prisons/corrections-statistics-quick-reference</w:t>
      </w:r>
      <w:r w:rsidRPr="00CE10C9">
        <w:t>&gt;.</w:t>
      </w:r>
      <w:r>
        <w:t xml:space="preserve"> </w:t>
      </w:r>
    </w:p>
  </w:footnote>
  <w:footnote w:id="209">
    <w:p w14:paraId="0BE6C601" w14:textId="7E5FEAB5" w:rsidR="00D80102" w:rsidRPr="00AF1182" w:rsidRDefault="00D80102" w:rsidP="00846755">
      <w:pPr>
        <w:pStyle w:val="FootnoteText"/>
      </w:pPr>
      <w:r w:rsidRPr="00AF1182">
        <w:rPr>
          <w:rStyle w:val="FootnoteReference"/>
          <w:rFonts w:eastAsiaTheme="majorEastAsia"/>
          <w:sz w:val="16"/>
        </w:rPr>
        <w:footnoteRef/>
      </w:r>
      <w:r w:rsidRPr="00AF1182">
        <w:t xml:space="preserve"> Victorian Auditor-General’s Office, </w:t>
      </w:r>
      <w:r w:rsidRPr="006F2780">
        <w:rPr>
          <w:i/>
        </w:rPr>
        <w:t>Managing Rehabilitation Services in Youth Detention</w:t>
      </w:r>
      <w:r w:rsidRPr="00AF1182">
        <w:t xml:space="preserve"> (Parliamentary Report, August 2018) </w:t>
      </w:r>
      <w:r>
        <w:t xml:space="preserve">10 </w:t>
      </w:r>
      <w:r w:rsidRPr="00AF1182">
        <w:t>&lt;</w:t>
      </w:r>
      <w:hyperlink r:id="rId46" w:history="1">
        <w:r w:rsidRPr="00FC1684">
          <w:rPr>
            <w:rStyle w:val="Hyperlink"/>
          </w:rPr>
          <w:t>https://www.audit.vic.gov.au/sites/default/files/2018-08/20180808-Youth-Detention.pdf</w:t>
        </w:r>
      </w:hyperlink>
      <w:r w:rsidRPr="00AF1182">
        <w:t>&gt;.</w:t>
      </w:r>
      <w:r>
        <w:t xml:space="preserve"> </w:t>
      </w:r>
    </w:p>
  </w:footnote>
  <w:footnote w:id="210">
    <w:p w14:paraId="55DB39F1" w14:textId="12EB9038" w:rsidR="00D80102" w:rsidRPr="00AF1182" w:rsidRDefault="00D80102" w:rsidP="00565DF0">
      <w:pPr>
        <w:pStyle w:val="FootnoteText"/>
      </w:pPr>
      <w:r w:rsidRPr="00AF1182">
        <w:rPr>
          <w:rStyle w:val="FootnoteReference"/>
          <w:rFonts w:eastAsiaTheme="majorEastAsia"/>
          <w:sz w:val="16"/>
        </w:rPr>
        <w:footnoteRef/>
      </w:r>
      <w:r w:rsidRPr="00AF1182">
        <w:t xml:space="preserve"> See e.g.</w:t>
      </w:r>
      <w:r>
        <w:t>:</w:t>
      </w:r>
      <w:r w:rsidRPr="00AF1182">
        <w:t xml:space="preserve"> Victorian Ombudsman, </w:t>
      </w:r>
      <w:r w:rsidRPr="006F2780">
        <w:rPr>
          <w:i/>
        </w:rPr>
        <w:t xml:space="preserve">Investigation into the imprisonment of a woman found unfit to stand trial </w:t>
      </w:r>
      <w:r w:rsidRPr="00AF1182">
        <w:t>(Report, October 2018) &lt;</w:t>
      </w:r>
      <w:hyperlink r:id="rId47" w:history="1">
        <w:r w:rsidRPr="00FC1684">
          <w:rPr>
            <w:rStyle w:val="Hyperlink"/>
          </w:rPr>
          <w:t>https://www.ombudsman.vic.gov.au/News/Media-Releases/imprisonment-of-woman-found-unfit-to-stand-trial</w:t>
        </w:r>
      </w:hyperlink>
      <w:r w:rsidRPr="00AF1182">
        <w:t>&gt;.  We emphasise that any consideration of additional forensic beds should always be carefully balanced with the need for less restrictive alternatives and access to adequate services in the community.</w:t>
      </w:r>
    </w:p>
  </w:footnote>
  <w:footnote w:id="211">
    <w:p w14:paraId="758D3289" w14:textId="0AE0399C" w:rsidR="00D80102" w:rsidRPr="00AF1182" w:rsidRDefault="00D80102" w:rsidP="00B54714">
      <w:pPr>
        <w:pStyle w:val="FootnoteText"/>
      </w:pPr>
      <w:r w:rsidRPr="00AF1182">
        <w:rPr>
          <w:rStyle w:val="FootnoteReference"/>
          <w:sz w:val="16"/>
        </w:rPr>
        <w:footnoteRef/>
      </w:r>
      <w:r w:rsidRPr="00AF1182">
        <w:t xml:space="preserve"> </w:t>
      </w:r>
      <w:proofErr w:type="spellStart"/>
      <w:r w:rsidRPr="00AF1182">
        <w:t>Forensicare</w:t>
      </w:r>
      <w:proofErr w:type="spellEnd"/>
      <w:r>
        <w:t xml:space="preserve"> Submission (n</w:t>
      </w:r>
      <w:r>
        <w:fldChar w:fldCharType="begin"/>
      </w:r>
      <w:r>
        <w:instrText xml:space="preserve"> NOTEREF _Ref41589562 \h </w:instrText>
      </w:r>
      <w:r>
        <w:fldChar w:fldCharType="separate"/>
      </w:r>
      <w:r>
        <w:t>206</w:t>
      </w:r>
      <w:r>
        <w:fldChar w:fldCharType="end"/>
      </w:r>
      <w:r>
        <w:t>) 5.</w:t>
      </w:r>
    </w:p>
  </w:footnote>
  <w:footnote w:id="212">
    <w:p w14:paraId="1DF3916F" w14:textId="77777777" w:rsidR="00D80102" w:rsidRPr="00AF1182" w:rsidRDefault="00D80102" w:rsidP="00846755">
      <w:pPr>
        <w:pStyle w:val="FootnoteText"/>
      </w:pPr>
      <w:r w:rsidRPr="00AF1182">
        <w:rPr>
          <w:rStyle w:val="FootnoteReference"/>
          <w:rFonts w:eastAsia="Arial"/>
          <w:sz w:val="16"/>
        </w:rPr>
        <w:footnoteRef/>
      </w:r>
      <w:r w:rsidRPr="00AF1182">
        <w:t xml:space="preserve"> See e.g.</w:t>
      </w:r>
      <w:r>
        <w:t>:</w:t>
      </w:r>
      <w:r w:rsidRPr="00AF1182">
        <w:t xml:space="preserve"> Victorian Ombudsman, </w:t>
      </w:r>
      <w:r w:rsidRPr="00AF1182">
        <w:rPr>
          <w:i/>
          <w:iCs/>
        </w:rPr>
        <w:t>Investigation into the reintegration and rehabilitation of prisoners in Victoria</w:t>
      </w:r>
      <w:r w:rsidRPr="00AF1182">
        <w:t xml:space="preserve"> (</w:t>
      </w:r>
      <w:r>
        <w:t xml:space="preserve">Report, </w:t>
      </w:r>
      <w:r w:rsidRPr="00AF1182">
        <w:t xml:space="preserve">September 2015), 67 (recommendation 6). </w:t>
      </w:r>
    </w:p>
  </w:footnote>
  <w:footnote w:id="213">
    <w:p w14:paraId="6BFA4B96" w14:textId="405BC516" w:rsidR="00D80102" w:rsidRPr="00754369" w:rsidRDefault="00D80102" w:rsidP="0032309E">
      <w:pPr>
        <w:pStyle w:val="FootnoteText"/>
        <w:rPr>
          <w:lang w:val="en-US"/>
        </w:rPr>
      </w:pPr>
      <w:r w:rsidRPr="00754369">
        <w:rPr>
          <w:rStyle w:val="FootnoteReference"/>
          <w:rFonts w:eastAsia="Arial"/>
        </w:rPr>
        <w:footnoteRef/>
      </w:r>
      <w:r w:rsidRPr="00754369">
        <w:t xml:space="preserve"> </w:t>
      </w:r>
      <w:r w:rsidRPr="00754369">
        <w:rPr>
          <w:lang w:val="en-US"/>
        </w:rPr>
        <w:t xml:space="preserve">Victorian Auditor-General’s Office, </w:t>
      </w:r>
      <w:r w:rsidRPr="00754369">
        <w:rPr>
          <w:i/>
          <w:iCs/>
          <w:lang w:val="en-US"/>
        </w:rPr>
        <w:t>Problem-Solving Approaches to Justice</w:t>
      </w:r>
      <w:r w:rsidRPr="00754369">
        <w:rPr>
          <w:lang w:val="en-US"/>
        </w:rPr>
        <w:t xml:space="preserve"> (</w:t>
      </w:r>
      <w:r>
        <w:rPr>
          <w:lang w:val="en-US"/>
        </w:rPr>
        <w:t xml:space="preserve">Report, </w:t>
      </w:r>
      <w:r w:rsidRPr="00754369">
        <w:rPr>
          <w:lang w:val="en-US"/>
        </w:rPr>
        <w:t>April 2011) 1.</w:t>
      </w:r>
    </w:p>
  </w:footnote>
  <w:footnote w:id="214">
    <w:p w14:paraId="57B30F3D" w14:textId="27E6332B" w:rsidR="00D80102" w:rsidRPr="00AF1182" w:rsidRDefault="00D80102" w:rsidP="006759A6">
      <w:pPr>
        <w:pStyle w:val="FootnoteText"/>
      </w:pPr>
      <w:r>
        <w:rPr>
          <w:rStyle w:val="FootnoteReference"/>
        </w:rPr>
        <w:footnoteRef/>
      </w:r>
      <w:r>
        <w:t xml:space="preserve"> There was a 60 per cent reduction in the number of adults released on parole in 2019 from 2013, and a concomitant increase in the number of parole denials:</w:t>
      </w:r>
      <w:r w:rsidRPr="00754369">
        <w:rPr>
          <w:rFonts w:eastAsia="Arial"/>
        </w:rPr>
        <w:t xml:space="preserve"> Adult Parole Board, </w:t>
      </w:r>
      <w:r w:rsidRPr="00754369">
        <w:rPr>
          <w:rFonts w:eastAsia="Arial"/>
          <w:i/>
        </w:rPr>
        <w:t>Annual Report 2017</w:t>
      </w:r>
      <w:r w:rsidRPr="00754369">
        <w:rPr>
          <w:rFonts w:eastAsia="Arial"/>
          <w:i/>
          <w:iCs/>
        </w:rPr>
        <w:t xml:space="preserve"> – 2018</w:t>
      </w:r>
      <w:r w:rsidRPr="00754369">
        <w:rPr>
          <w:rFonts w:eastAsia="Arial"/>
        </w:rPr>
        <w:t>, 24</w:t>
      </w:r>
      <w:r>
        <w:rPr>
          <w:rFonts w:eastAsia="Arial"/>
        </w:rPr>
        <w:t>.</w:t>
      </w:r>
    </w:p>
  </w:footnote>
  <w:footnote w:id="215">
    <w:p w14:paraId="47DFFE51" w14:textId="77777777" w:rsidR="00D80102" w:rsidRPr="00AF1182" w:rsidRDefault="00D80102" w:rsidP="006759A6">
      <w:pPr>
        <w:pStyle w:val="FootnoteText"/>
      </w:pPr>
      <w:r w:rsidRPr="00AF1182">
        <w:rPr>
          <w:rStyle w:val="FootnoteReference"/>
          <w:rFonts w:eastAsia="Arial"/>
          <w:sz w:val="16"/>
        </w:rPr>
        <w:footnoteRef/>
      </w:r>
      <w:r w:rsidRPr="00AF1182">
        <w:t xml:space="preserve"> Which requires a minimum term of 12 months imprisonment.</w:t>
      </w:r>
    </w:p>
  </w:footnote>
  <w:footnote w:id="216">
    <w:p w14:paraId="772C3AB8" w14:textId="4545B0AB" w:rsidR="00D80102" w:rsidRPr="00AF1182" w:rsidRDefault="00D80102" w:rsidP="006759A6">
      <w:pPr>
        <w:pStyle w:val="FootnoteText"/>
      </w:pPr>
      <w:r w:rsidRPr="00AF1182">
        <w:rPr>
          <w:rStyle w:val="FootnoteReference"/>
          <w:sz w:val="16"/>
        </w:rPr>
        <w:footnoteRef/>
      </w:r>
      <w:r w:rsidRPr="00AF1182">
        <w:t xml:space="preserve"> Adult Parole Board</w:t>
      </w:r>
      <w:r>
        <w:t xml:space="preserve"> of Victoria</w:t>
      </w:r>
      <w:r w:rsidRPr="00AF1182">
        <w:t xml:space="preserve">, </w:t>
      </w:r>
      <w:r w:rsidRPr="00AF1182">
        <w:rPr>
          <w:i/>
        </w:rPr>
        <w:t>Annual Report 2018 – 2019</w:t>
      </w:r>
      <w:r>
        <w:t xml:space="preserve"> (Report, September 2019)</w:t>
      </w:r>
      <w:r w:rsidRPr="00AF1182">
        <w:t xml:space="preserve"> 30.</w:t>
      </w:r>
    </w:p>
  </w:footnote>
  <w:footnote w:id="217">
    <w:p w14:paraId="40459067" w14:textId="38ED1499" w:rsidR="00D80102" w:rsidRPr="00AF1182" w:rsidRDefault="00D80102" w:rsidP="006759A6">
      <w:pPr>
        <w:pStyle w:val="FootnoteText"/>
      </w:pPr>
      <w:r w:rsidRPr="00AF1182">
        <w:rPr>
          <w:rStyle w:val="FootnoteReference"/>
          <w:rFonts w:eastAsia="Arial"/>
          <w:sz w:val="16"/>
        </w:rPr>
        <w:footnoteRef/>
      </w:r>
      <w:r w:rsidRPr="00AF1182">
        <w:t xml:space="preserve"> Michael </w:t>
      </w:r>
      <w:r w:rsidRPr="00AF1182">
        <w:rPr>
          <w:rFonts w:eastAsia="Arial"/>
        </w:rPr>
        <w:t>Hobbs</w:t>
      </w:r>
      <w:r>
        <w:t xml:space="preserve"> et al</w:t>
      </w:r>
      <w:r w:rsidRPr="00AF1182">
        <w:rPr>
          <w:rFonts w:eastAsia="Arial"/>
        </w:rPr>
        <w:t xml:space="preserve">, </w:t>
      </w:r>
      <w:r w:rsidRPr="00AF1182">
        <w:t>‘</w:t>
      </w:r>
      <w:r w:rsidRPr="00AF1182">
        <w:rPr>
          <w:rFonts w:eastAsia="Arial"/>
        </w:rPr>
        <w:t>Mortality and morbidity in prisoners after release from prison in Western Australia 1995-2003’</w:t>
      </w:r>
      <w:r>
        <w:rPr>
          <w:rFonts w:eastAsia="Arial"/>
        </w:rPr>
        <w:t xml:space="preserve"> (2006)</w:t>
      </w:r>
      <w:r w:rsidRPr="00AF1182">
        <w:rPr>
          <w:rFonts w:eastAsia="Arial"/>
        </w:rPr>
        <w:t xml:space="preserve"> 320 </w:t>
      </w:r>
      <w:r w:rsidRPr="00AF1182">
        <w:rPr>
          <w:rFonts w:eastAsia="Arial"/>
          <w:i/>
        </w:rPr>
        <w:t xml:space="preserve">Australian Institute of Criminology: Trends </w:t>
      </w:r>
      <w:r>
        <w:rPr>
          <w:rFonts w:eastAsia="Arial"/>
          <w:i/>
        </w:rPr>
        <w:t>and</w:t>
      </w:r>
      <w:r w:rsidRPr="00AF1182">
        <w:rPr>
          <w:rFonts w:eastAsia="Arial"/>
          <w:i/>
        </w:rPr>
        <w:t xml:space="preserve"> issues in crime and criminal justice</w:t>
      </w:r>
      <w:r w:rsidRPr="00AF1182">
        <w:rPr>
          <w:rFonts w:eastAsia="Arial"/>
        </w:rPr>
        <w:t xml:space="preserve"> </w:t>
      </w:r>
      <w:r w:rsidRPr="00651DD8">
        <w:rPr>
          <w:rFonts w:eastAsia="Arial"/>
        </w:rPr>
        <w:t xml:space="preserve">1. </w:t>
      </w:r>
      <w:r>
        <w:rPr>
          <w:rFonts w:eastAsia="Arial"/>
        </w:rPr>
        <w:t xml:space="preserve"> </w:t>
      </w:r>
    </w:p>
  </w:footnote>
  <w:footnote w:id="218">
    <w:p w14:paraId="47C18BB2" w14:textId="07106049" w:rsidR="00D80102" w:rsidRPr="00AF1182" w:rsidRDefault="00D80102" w:rsidP="006759A6">
      <w:pPr>
        <w:pStyle w:val="FootnoteText"/>
      </w:pPr>
      <w:r w:rsidRPr="00AF1182">
        <w:rPr>
          <w:rStyle w:val="FootnoteReference"/>
          <w:rFonts w:eastAsia="Arial"/>
          <w:sz w:val="16"/>
        </w:rPr>
        <w:footnoteRef/>
      </w:r>
      <w:r w:rsidRPr="00AF1182">
        <w:rPr>
          <w:rFonts w:eastAsia="Arial"/>
        </w:rPr>
        <w:t xml:space="preserve"> Daniel Jones and Alan Maynard, ‘Suicide in recently released prisoners: a systematic review’ </w:t>
      </w:r>
      <w:r>
        <w:rPr>
          <w:rFonts w:eastAsia="Arial"/>
        </w:rPr>
        <w:t xml:space="preserve">(2013) </w:t>
      </w:r>
      <w:r w:rsidRPr="00AF1182">
        <w:rPr>
          <w:rFonts w:eastAsia="Arial"/>
        </w:rPr>
        <w:t xml:space="preserve">17(3) </w:t>
      </w:r>
      <w:r w:rsidRPr="00AF1182">
        <w:rPr>
          <w:rFonts w:eastAsia="Arial"/>
          <w:i/>
        </w:rPr>
        <w:t>Mental Health Practice</w:t>
      </w:r>
      <w:r w:rsidRPr="00AF1182">
        <w:rPr>
          <w:rFonts w:eastAsia="Arial"/>
        </w:rPr>
        <w:t xml:space="preserve"> 20</w:t>
      </w:r>
      <w:r>
        <w:rPr>
          <w:rFonts w:eastAsia="Arial"/>
        </w:rPr>
        <w:t xml:space="preserve">; </w:t>
      </w:r>
      <w:r w:rsidRPr="00754369">
        <w:rPr>
          <w:rFonts w:eastAsia="Arial"/>
        </w:rPr>
        <w:t>Simon J Forsyth</w:t>
      </w:r>
      <w:r>
        <w:rPr>
          <w:rFonts w:eastAsia="Arial"/>
        </w:rPr>
        <w:t xml:space="preserve"> et al</w:t>
      </w:r>
      <w:r w:rsidRPr="00754369">
        <w:rPr>
          <w:rFonts w:eastAsia="Arial"/>
        </w:rPr>
        <w:t>, ‘Incidence and risk factors for mortality after release from prison in Australia: A prospective cohort study’</w:t>
      </w:r>
      <w:r>
        <w:rPr>
          <w:rFonts w:eastAsia="Arial"/>
        </w:rPr>
        <w:t xml:space="preserve"> (2018) </w:t>
      </w:r>
      <w:r w:rsidRPr="00754369">
        <w:rPr>
          <w:rFonts w:eastAsia="Arial"/>
        </w:rPr>
        <w:t xml:space="preserve">113(5) </w:t>
      </w:r>
      <w:r w:rsidRPr="00754369">
        <w:rPr>
          <w:rFonts w:eastAsia="Arial"/>
          <w:i/>
        </w:rPr>
        <w:t>Addiction</w:t>
      </w:r>
      <w:r w:rsidRPr="00754369">
        <w:rPr>
          <w:rFonts w:eastAsia="Arial"/>
        </w:rPr>
        <w:t xml:space="preserve"> 937</w:t>
      </w:r>
      <w:r w:rsidRPr="00AF1182">
        <w:rPr>
          <w:rFonts w:eastAsia="Arial"/>
        </w:rPr>
        <w:t>.</w:t>
      </w:r>
    </w:p>
  </w:footnote>
  <w:footnote w:id="219">
    <w:p w14:paraId="41EF1C9F" w14:textId="6C82D16E" w:rsidR="00D80102" w:rsidRPr="00AF1182" w:rsidRDefault="00D80102" w:rsidP="006759A6">
      <w:pPr>
        <w:pStyle w:val="FootnoteText"/>
      </w:pPr>
      <w:r w:rsidRPr="00AF1182">
        <w:rPr>
          <w:rStyle w:val="footnotemark"/>
        </w:rPr>
        <w:footnoteRef/>
      </w:r>
      <w:r w:rsidRPr="00AF1182">
        <w:t xml:space="preserve"> The staged release Judy Lazarus Transition Centre has been shown to reduce recidivism is limited to 25 beds for men; there are none for women. See also</w:t>
      </w:r>
      <w:r>
        <w:t>:</w:t>
      </w:r>
      <w:r w:rsidRPr="00AF1182">
        <w:t xml:space="preserve"> Corrections, Prisons and Parole, </w:t>
      </w:r>
      <w:r w:rsidRPr="00651DD8">
        <w:rPr>
          <w:i/>
          <w:iCs/>
        </w:rPr>
        <w:t>Judy Lazarus Transition Centre: Information specific to Judy Lazarus Transition Centre</w:t>
      </w:r>
      <w:r w:rsidRPr="00AF1182">
        <w:t xml:space="preserve"> </w:t>
      </w:r>
      <w:r>
        <w:t xml:space="preserve">(Web Page) </w:t>
      </w:r>
      <w:r w:rsidRPr="00AF1182">
        <w:t>&lt;</w:t>
      </w:r>
      <w:hyperlink r:id="rId48" w:history="1">
        <w:r w:rsidRPr="00FC1684">
          <w:rPr>
            <w:rStyle w:val="Hyperlink"/>
          </w:rPr>
          <w:t>https://www.corrections.vic.gov.au/prisons/judy-lazarus-transition-centre</w:t>
        </w:r>
      </w:hyperlink>
      <w:r>
        <w:t>&gt;.</w:t>
      </w:r>
    </w:p>
  </w:footnote>
  <w:footnote w:id="220">
    <w:p w14:paraId="0D29CB98" w14:textId="77777777" w:rsidR="00D80102" w:rsidRPr="00AF1182" w:rsidRDefault="00D80102" w:rsidP="006759A6">
      <w:pPr>
        <w:pStyle w:val="FootnoteText"/>
      </w:pPr>
      <w:r w:rsidRPr="00AF1182">
        <w:rPr>
          <w:rStyle w:val="FootnoteReference"/>
          <w:sz w:val="16"/>
        </w:rPr>
        <w:footnoteRef/>
      </w:r>
      <w:r w:rsidRPr="00AF1182">
        <w:t xml:space="preserve"> Forensicare operates a prison-based psychosocial rehabilitation and reintegration unit, called Tambo, which contains 10 beds in cottage style accommodation. The program is limited to a small number of people seriously impacted by their mental health issues. Since the program commenced in November 2017 there have been 37 admissions. The success of the program lies in its six weeks post release community outreach support, which the service provider described as ‘priceless’. Feedback from participants is that they have felt connected and part of community in a way that they rarely have felt before in their lives: Danielle Ashley, ‘Psychosocial, Recovery Focused Mental Health Rehabilitation in a Prison: What Does this Look Like? (Conference Paper, </w:t>
      </w:r>
      <w:r w:rsidRPr="00651DD8">
        <w:t>International Criminal Justice Conference</w:t>
      </w:r>
      <w:r w:rsidRPr="00AF1182">
        <w:t xml:space="preserve"> </w:t>
      </w:r>
      <w:r w:rsidRPr="00651DD8">
        <w:t>2019</w:t>
      </w:r>
      <w:r w:rsidRPr="00AF1182">
        <w:rPr>
          <w:i/>
        </w:rPr>
        <w:t xml:space="preserve">, </w:t>
      </w:r>
      <w:r w:rsidRPr="00AF1182">
        <w:t>20 November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345A" w14:textId="77777777" w:rsidR="00D80102" w:rsidRDefault="00D80102">
    <w:pPr>
      <w:pStyle w:val="Header"/>
    </w:pPr>
    <w:r>
      <w:rPr>
        <w:noProof/>
      </w:rPr>
      <mc:AlternateContent>
        <mc:Choice Requires="wps">
          <w:drawing>
            <wp:anchor distT="0" distB="0" distL="114300" distR="114300" simplePos="0" relativeHeight="251658240" behindDoc="1" locked="0" layoutInCell="0" allowOverlap="1" wp14:anchorId="15DB2F73" wp14:editId="4B7DA4CC">
              <wp:simplePos x="0" y="0"/>
              <wp:positionH relativeFrom="margin">
                <wp:align>center</wp:align>
              </wp:positionH>
              <wp:positionV relativeFrom="margin">
                <wp:align>center</wp:align>
              </wp:positionV>
              <wp:extent cx="1085850" cy="714375"/>
              <wp:effectExtent l="0" t="0" r="0" b="0"/>
              <wp:wrapNone/>
              <wp:docPr id="3" name="WordAr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7BDE69" w14:textId="77777777" w:rsidR="00D80102" w:rsidRDefault="00D80102" w:rsidP="009F4DEF">
                          <w:pPr>
                            <w:jc w:val="center"/>
                            <w:rPr>
                              <w:sz w:val="24"/>
                            </w:rPr>
                          </w:pPr>
                          <w:r>
                            <w:rPr>
                              <w:rFonts w:ascii="Arial Narrow" w:hAnsi="Arial Narrow" w:cs="Arial Narrow"/>
                              <w:color w:val="C0C0C0"/>
                              <w:sz w:val="64"/>
                              <w:szCs w:val="64"/>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5DB2F73"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" o:allowincell="f" filled="f" stroked="f">
              <v:stroke joinstyle="round"/>
              <v:path arrowok="t"/>
              <v:textbox>
                <w:txbxContent>
                  <w:p w14:paraId="247BDE69" w14:textId="77777777" w:rsidR="00D80102" w:rsidRDefault="00D80102" w:rsidP="009F4DEF">
                    <w:pPr>
                      <w:jc w:val="center"/>
                      <w:rPr>
                        <w:sz w:val="24"/>
                      </w:rPr>
                    </w:pPr>
                    <w:r>
                      <w:rPr>
                        <w:rFonts w:ascii="Arial Narrow" w:hAnsi="Arial Narrow" w:cs="Arial Narrow"/>
                        <w:color w:val="C0C0C0"/>
                        <w:sz w:val="64"/>
                        <w:szCs w:val="64"/>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1E5B2" w14:textId="77777777" w:rsidR="00D80102" w:rsidRPr="009F7B2D" w:rsidRDefault="00D80102" w:rsidP="004E068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B5D0" w14:textId="2B6752D1" w:rsidR="00D80102" w:rsidRDefault="00D801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DC0A" w14:textId="77777777" w:rsidR="00D80102" w:rsidRPr="009F7B2D" w:rsidRDefault="00D80102" w:rsidP="002664A2">
    <w:pPr>
      <w:pStyle w:val="Header"/>
      <w:pBdr>
        <w:bottom w:val="none" w:sz="0" w:space="0" w:color="auto"/>
      </w:pBdr>
      <w:tabs>
        <w:tab w:val="clear" w:pos="4604"/>
        <w:tab w:val="clear" w:pos="9214"/>
      </w:tabs>
    </w:pPr>
    <w:r>
      <w:rPr>
        <w:noProof/>
      </w:rPr>
      <w:drawing>
        <wp:anchor distT="0" distB="0" distL="114300" distR="114300" simplePos="0" relativeHeight="251658241" behindDoc="0" locked="0" layoutInCell="1" allowOverlap="1" wp14:anchorId="48A0CC8C" wp14:editId="744A39CB">
          <wp:simplePos x="0" y="0"/>
          <wp:positionH relativeFrom="column">
            <wp:posOffset>-647065</wp:posOffset>
          </wp:positionH>
          <wp:positionV relativeFrom="paragraph">
            <wp:posOffset>-540385</wp:posOffset>
          </wp:positionV>
          <wp:extent cx="7549515" cy="710565"/>
          <wp:effectExtent l="0" t="0" r="0" b="635"/>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C2AF" w14:textId="77777777" w:rsidR="00D80102" w:rsidRPr="009F7B2D" w:rsidRDefault="00D80102" w:rsidP="00983C72">
    <w:pPr>
      <w:spacing w:after="0"/>
    </w:pPr>
    <w:r>
      <w:rPr>
        <w:noProof/>
      </w:rPr>
      <w:drawing>
        <wp:anchor distT="0" distB="0" distL="114300" distR="114300" simplePos="0" relativeHeight="251658242" behindDoc="0" locked="0" layoutInCell="1" allowOverlap="1" wp14:anchorId="6F245969" wp14:editId="5E980F30">
          <wp:simplePos x="0" y="0"/>
          <wp:positionH relativeFrom="column">
            <wp:posOffset>-647065</wp:posOffset>
          </wp:positionH>
          <wp:positionV relativeFrom="paragraph">
            <wp:posOffset>-540385</wp:posOffset>
          </wp:positionV>
          <wp:extent cx="7549515" cy="710565"/>
          <wp:effectExtent l="0" t="0" r="0" b="63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2B6A" w14:textId="77777777" w:rsidR="00D80102" w:rsidRDefault="00D801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46ADC"/>
    <w:lvl w:ilvl="0">
      <w:start w:val="1"/>
      <w:numFmt w:val="decimal"/>
      <w:pStyle w:val="ListNumber5"/>
      <w:lvlText w:val="%1."/>
      <w:lvlJc w:val="left"/>
      <w:pPr>
        <w:tabs>
          <w:tab w:val="num" w:pos="-1102"/>
        </w:tabs>
        <w:ind w:left="-1102" w:hanging="360"/>
      </w:pPr>
    </w:lvl>
  </w:abstractNum>
  <w:abstractNum w:abstractNumId="1" w15:restartNumberingAfterBreak="0">
    <w:nsid w:val="FFFFFF7D"/>
    <w:multiLevelType w:val="singleLevel"/>
    <w:tmpl w:val="30746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4ED8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36122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954F19A"/>
    <w:lvl w:ilvl="0">
      <w:start w:val="1"/>
      <w:numFmt w:val="decimal"/>
      <w:pStyle w:val="ListNumber"/>
      <w:lvlText w:val="%1."/>
      <w:lvlJc w:val="left"/>
      <w:pPr>
        <w:tabs>
          <w:tab w:val="num" w:pos="360"/>
        </w:tabs>
        <w:ind w:left="360" w:hanging="360"/>
      </w:pPr>
    </w:lvl>
  </w:abstractNum>
  <w:abstractNum w:abstractNumId="5" w15:restartNumberingAfterBreak="0">
    <w:nsid w:val="09524A48"/>
    <w:multiLevelType w:val="hybridMultilevel"/>
    <w:tmpl w:val="F308F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414DC"/>
    <w:multiLevelType w:val="hybridMultilevel"/>
    <w:tmpl w:val="B524CAC2"/>
    <w:lvl w:ilvl="0" w:tplc="FEAE07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4141C4"/>
    <w:multiLevelType w:val="hybridMultilevel"/>
    <w:tmpl w:val="B16C19D4"/>
    <w:lvl w:ilvl="0" w:tplc="E40A0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35A4E"/>
    <w:multiLevelType w:val="hybridMultilevel"/>
    <w:tmpl w:val="F80CB124"/>
    <w:lvl w:ilvl="0" w:tplc="7A020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58A0C83"/>
    <w:multiLevelType w:val="hybridMultilevel"/>
    <w:tmpl w:val="968E584A"/>
    <w:lvl w:ilvl="0" w:tplc="0C090001">
      <w:start w:val="1"/>
      <w:numFmt w:val="bullet"/>
      <w:lvlText w:val=""/>
      <w:lvlJc w:val="left"/>
      <w:pPr>
        <w:ind w:left="1174" w:hanging="360"/>
      </w:pPr>
      <w:rPr>
        <w:rFonts w:ascii="Symbol" w:hAnsi="Symbol" w:cs="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 w15:restartNumberingAfterBreak="0">
    <w:nsid w:val="1A670B8A"/>
    <w:multiLevelType w:val="multilevel"/>
    <w:tmpl w:val="83908C78"/>
    <w:lvl w:ilvl="0">
      <w:start w:val="1"/>
      <w:numFmt w:val="decimal"/>
      <w:pStyle w:val="VLApicture"/>
      <w:lvlText w:val="%1."/>
      <w:lvlJc w:val="left"/>
      <w:pPr>
        <w:tabs>
          <w:tab w:val="num" w:pos="357"/>
        </w:tabs>
        <w:ind w:left="357" w:hanging="357"/>
      </w:pPr>
      <w:rPr>
        <w:rFonts w:ascii="Arial" w:hAnsi="Arial" w:cs="Arial" w:hint="default"/>
        <w:b w:val="0"/>
        <w:i w:val="0"/>
        <w:caps/>
        <w:smallCaps w:val="0"/>
        <w:strike w:val="0"/>
        <w:dstrike w:val="0"/>
        <w:sz w:val="21"/>
        <w:u w:val="none"/>
        <w:effect w:val="none"/>
      </w:rPr>
    </w:lvl>
    <w:lvl w:ilvl="1">
      <w:start w:val="1"/>
      <w:numFmt w:val="lowerLetter"/>
      <w:lvlText w:val="%2."/>
      <w:lvlJc w:val="left"/>
      <w:pPr>
        <w:tabs>
          <w:tab w:val="num" w:pos="714"/>
        </w:tabs>
        <w:ind w:left="714" w:hanging="357"/>
      </w:pPr>
      <w:rPr>
        <w:rFonts w:ascii="Arial" w:hAnsi="Arial" w:cs="Arial" w:hint="default"/>
        <w:b w:val="0"/>
        <w:i w:val="0"/>
        <w:strike w:val="0"/>
        <w:dstrike w:val="0"/>
        <w:sz w:val="21"/>
        <w:u w:val="none"/>
        <w:effect w:val="none"/>
      </w:rPr>
    </w:lvl>
    <w:lvl w:ilvl="2">
      <w:start w:val="1"/>
      <w:numFmt w:val="lowerRoman"/>
      <w:lvlText w:val="%3."/>
      <w:lvlJc w:val="left"/>
      <w:pPr>
        <w:tabs>
          <w:tab w:val="num" w:pos="1072"/>
        </w:tabs>
        <w:ind w:left="1072" w:hanging="358"/>
      </w:pPr>
      <w:rPr>
        <w:rFonts w:ascii="Arial" w:hAnsi="Arial" w:cs="Arial" w:hint="default"/>
        <w:b w:val="0"/>
        <w:i w:val="0"/>
        <w:strike w:val="0"/>
        <w:dstrike w:val="0"/>
        <w:sz w:val="21"/>
        <w:u w:val="none"/>
        <w:effect w:val="none"/>
      </w:rPr>
    </w:lvl>
    <w:lvl w:ilvl="3">
      <w:start w:val="1"/>
      <w:numFmt w:val="none"/>
      <w:lvlText w:val=""/>
      <w:lvlJc w:val="left"/>
      <w:pPr>
        <w:tabs>
          <w:tab w:val="num" w:pos="1429"/>
        </w:tabs>
        <w:ind w:left="1429" w:hanging="357"/>
      </w:pPr>
      <w:rPr>
        <w:rFonts w:ascii="Arial" w:hAnsi="Arial" w:cs="Arial" w:hint="default"/>
        <w:b w:val="0"/>
        <w:i w:val="0"/>
        <w:strike w:val="0"/>
        <w:dstrike w:val="0"/>
        <w:sz w:val="22"/>
        <w:u w:val="none"/>
        <w:effect w:val="none"/>
      </w:rPr>
    </w:lvl>
    <w:lvl w:ilvl="4">
      <w:start w:val="1"/>
      <w:numFmt w:val="none"/>
      <w:lvlText w:val=""/>
      <w:lvlJc w:val="left"/>
      <w:pPr>
        <w:tabs>
          <w:tab w:val="num" w:pos="1786"/>
        </w:tabs>
        <w:ind w:left="1786" w:hanging="357"/>
      </w:pPr>
      <w:rPr>
        <w:rFonts w:ascii="Arial" w:hAnsi="Arial" w:cs="Arial" w:hint="default"/>
        <w:b w:val="0"/>
        <w:i w:val="0"/>
        <w:strike w:val="0"/>
        <w:dstrike w:val="0"/>
        <w:sz w:val="22"/>
        <w:u w:val="none"/>
        <w:effect w:val="none"/>
      </w:rPr>
    </w:lvl>
    <w:lvl w:ilvl="5">
      <w:start w:val="1"/>
      <w:numFmt w:val="none"/>
      <w:lvlText w:val=""/>
      <w:lvlJc w:val="left"/>
      <w:pPr>
        <w:tabs>
          <w:tab w:val="num" w:pos="2143"/>
        </w:tabs>
        <w:ind w:left="2143" w:hanging="357"/>
      </w:pPr>
      <w:rPr>
        <w:rFonts w:ascii="Arial" w:hAnsi="Arial" w:cs="Arial" w:hint="default"/>
        <w:b w:val="0"/>
        <w:i w:val="0"/>
        <w:strike w:val="0"/>
        <w:dstrike w:val="0"/>
        <w:sz w:val="22"/>
        <w:u w:val="none"/>
        <w:effect w:val="none"/>
      </w:rPr>
    </w:lvl>
    <w:lvl w:ilvl="6">
      <w:start w:val="1"/>
      <w:numFmt w:val="none"/>
      <w:lvlText w:val=""/>
      <w:lvlJc w:val="left"/>
      <w:pPr>
        <w:tabs>
          <w:tab w:val="num" w:pos="2500"/>
        </w:tabs>
        <w:ind w:left="2500" w:hanging="357"/>
      </w:pPr>
      <w:rPr>
        <w:rFonts w:ascii="Arial" w:hAnsi="Arial" w:cs="Arial" w:hint="default"/>
        <w:b w:val="0"/>
        <w:i w:val="0"/>
        <w:strike w:val="0"/>
        <w:dstrike w:val="0"/>
        <w:sz w:val="22"/>
        <w:u w:val="none"/>
        <w:effect w:val="none"/>
      </w:rPr>
    </w:lvl>
    <w:lvl w:ilvl="7">
      <w:start w:val="1"/>
      <w:numFmt w:val="none"/>
      <w:lvlText w:val=""/>
      <w:lvlJc w:val="left"/>
      <w:pPr>
        <w:tabs>
          <w:tab w:val="num" w:pos="2858"/>
        </w:tabs>
        <w:ind w:left="2858" w:hanging="358"/>
      </w:pPr>
      <w:rPr>
        <w:rFonts w:ascii="Arial" w:hAnsi="Arial" w:cs="Arial" w:hint="default"/>
        <w:b w:val="0"/>
        <w:i w:val="0"/>
        <w:strike w:val="0"/>
        <w:dstrike w:val="0"/>
        <w:sz w:val="22"/>
        <w:u w:val="none"/>
        <w:effect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1D1858F3"/>
    <w:multiLevelType w:val="hybridMultilevel"/>
    <w:tmpl w:val="EC2E3322"/>
    <w:lvl w:ilvl="0" w:tplc="135AA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4" w15:restartNumberingAfterBreak="0">
    <w:nsid w:val="263F0A8E"/>
    <w:multiLevelType w:val="hybridMultilevel"/>
    <w:tmpl w:val="DE749AA4"/>
    <w:lvl w:ilvl="0" w:tplc="1E1EBB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F4183B"/>
    <w:multiLevelType w:val="hybridMultilevel"/>
    <w:tmpl w:val="1CC641C2"/>
    <w:lvl w:ilvl="0" w:tplc="D084E0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63CE1"/>
    <w:multiLevelType w:val="hybridMultilevel"/>
    <w:tmpl w:val="E5EAFB66"/>
    <w:lvl w:ilvl="0" w:tplc="2CBCAE28">
      <w:start w:val="1"/>
      <w:numFmt w:val="decimal"/>
      <w:pStyle w:val="Recommendationheading"/>
      <w:lvlText w:val="Recommendation %1:"/>
      <w:lvlJc w:val="left"/>
      <w:pPr>
        <w:ind w:left="1077" w:hanging="360"/>
      </w:pPr>
      <w:rPr>
        <w:rFonts w:hint="default"/>
        <w:i w:val="0"/>
        <w:iCs/>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37032EF4"/>
    <w:multiLevelType w:val="hybridMultilevel"/>
    <w:tmpl w:val="C2749934"/>
    <w:lvl w:ilvl="0" w:tplc="EA1267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2852B51"/>
    <w:multiLevelType w:val="hybridMultilevel"/>
    <w:tmpl w:val="1D5A5D5A"/>
    <w:lvl w:ilvl="0" w:tplc="B38477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4B4964DD"/>
    <w:multiLevelType w:val="hybridMultilevel"/>
    <w:tmpl w:val="D94611E2"/>
    <w:lvl w:ilvl="0" w:tplc="270A19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694948"/>
    <w:multiLevelType w:val="hybridMultilevel"/>
    <w:tmpl w:val="A924731A"/>
    <w:lvl w:ilvl="0" w:tplc="656C6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59468D3"/>
    <w:multiLevelType w:val="hybridMultilevel"/>
    <w:tmpl w:val="4E243AB2"/>
    <w:lvl w:ilvl="0" w:tplc="A88A5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857038"/>
    <w:multiLevelType w:val="hybridMultilevel"/>
    <w:tmpl w:val="5D469F32"/>
    <w:lvl w:ilvl="0" w:tplc="AD3094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326C04"/>
    <w:multiLevelType w:val="hybridMultilevel"/>
    <w:tmpl w:val="775A30D8"/>
    <w:lvl w:ilvl="0" w:tplc="217AC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8B4911"/>
    <w:multiLevelType w:val="hybridMultilevel"/>
    <w:tmpl w:val="499A0B68"/>
    <w:lvl w:ilvl="0" w:tplc="58B44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5F1C79C5"/>
    <w:multiLevelType w:val="hybridMultilevel"/>
    <w:tmpl w:val="34DEB408"/>
    <w:lvl w:ilvl="0" w:tplc="3D1E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413CED"/>
    <w:multiLevelType w:val="hybridMultilevel"/>
    <w:tmpl w:val="1838936A"/>
    <w:lvl w:ilvl="0" w:tplc="810E57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2" w15:restartNumberingAfterBreak="0">
    <w:nsid w:val="6F752CEA"/>
    <w:multiLevelType w:val="hybridMultilevel"/>
    <w:tmpl w:val="6406AB08"/>
    <w:lvl w:ilvl="0" w:tplc="DF763562">
      <w:start w:val="1"/>
      <w:numFmt w:val="decimal"/>
      <w:lvlText w:val="%1."/>
      <w:lvlJc w:val="left"/>
      <w:pPr>
        <w:ind w:left="814" w:hanging="36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3" w15:restartNumberingAfterBreak="0">
    <w:nsid w:val="734F7B1D"/>
    <w:multiLevelType w:val="hybridMultilevel"/>
    <w:tmpl w:val="167E44E8"/>
    <w:lvl w:ilvl="0" w:tplc="F176D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5" w15:restartNumberingAfterBreak="0">
    <w:nsid w:val="79796F9D"/>
    <w:multiLevelType w:val="multilevel"/>
    <w:tmpl w:val="F9C21ED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lowerLetter"/>
      <w:pStyle w:val="Heading3"/>
      <w:lvlText w:val="%3)"/>
      <w:lvlJc w:val="left"/>
      <w:pPr>
        <w:ind w:left="567" w:hanging="567"/>
      </w:pPr>
      <w:rPr>
        <w:rFonts w:hint="default"/>
        <w:b/>
        <w:bCs/>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6" w15:restartNumberingAfterBreak="0">
    <w:nsid w:val="7B327C64"/>
    <w:multiLevelType w:val="multilevel"/>
    <w:tmpl w:val="57C82F42"/>
    <w:lvl w:ilvl="0">
      <w:start w:val="1"/>
      <w:numFmt w:val="bullet"/>
      <w:pStyle w:val="Listbulletcoloured"/>
      <w:lvlText w:val=""/>
      <w:lvlJc w:val="left"/>
      <w:pPr>
        <w:ind w:left="510" w:hanging="170"/>
      </w:pPr>
      <w:rPr>
        <w:rFonts w:ascii="Symbol" w:hAnsi="Symbol" w:hint="default"/>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num w:numId="1">
    <w:abstractNumId w:val="23"/>
  </w:num>
  <w:num w:numId="2">
    <w:abstractNumId w:val="20"/>
  </w:num>
  <w:num w:numId="3">
    <w:abstractNumId w:val="4"/>
  </w:num>
  <w:num w:numId="4">
    <w:abstractNumId w:val="3"/>
  </w:num>
  <w:num w:numId="5">
    <w:abstractNumId w:val="2"/>
  </w:num>
  <w:num w:numId="6">
    <w:abstractNumId w:val="1"/>
  </w:num>
  <w:num w:numId="7">
    <w:abstractNumId w:val="0"/>
  </w:num>
  <w:num w:numId="8">
    <w:abstractNumId w:val="36"/>
  </w:num>
  <w:num w:numId="9">
    <w:abstractNumId w:val="32"/>
  </w:num>
  <w:num w:numId="10">
    <w:abstractNumId w:val="16"/>
  </w:num>
  <w:num w:numId="11">
    <w:abstractNumId w:val="35"/>
  </w:num>
  <w:num w:numId="12">
    <w:abstractNumId w:val="14"/>
    <w:lvlOverride w:ilvl="0">
      <w:startOverride w:val="1"/>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num>
  <w:num w:numId="19">
    <w:abstractNumId w:val="26"/>
  </w:num>
  <w:num w:numId="20">
    <w:abstractNumId w:val="27"/>
  </w:num>
  <w:num w:numId="21">
    <w:abstractNumId w:val="21"/>
  </w:num>
  <w:num w:numId="22">
    <w:abstractNumId w:val="15"/>
  </w:num>
  <w:num w:numId="23">
    <w:abstractNumId w:val="30"/>
  </w:num>
  <w:num w:numId="24">
    <w:abstractNumId w:val="12"/>
  </w:num>
  <w:num w:numId="25">
    <w:abstractNumId w:val="29"/>
  </w:num>
  <w:num w:numId="26">
    <w:abstractNumId w:val="33"/>
  </w:num>
  <w:num w:numId="27">
    <w:abstractNumId w:val="7"/>
  </w:num>
  <w:num w:numId="28">
    <w:abstractNumId w:val="19"/>
  </w:num>
  <w:num w:numId="29">
    <w:abstractNumId w:val="25"/>
  </w:num>
  <w:num w:numId="30">
    <w:abstractNumId w:val="8"/>
  </w:num>
  <w:num w:numId="31">
    <w:abstractNumId w:val="24"/>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00"/>
    <w:rsid w:val="00000037"/>
    <w:rsid w:val="0000030E"/>
    <w:rsid w:val="000006B0"/>
    <w:rsid w:val="000007BA"/>
    <w:rsid w:val="00000C36"/>
    <w:rsid w:val="00001152"/>
    <w:rsid w:val="00001179"/>
    <w:rsid w:val="00001282"/>
    <w:rsid w:val="000016BD"/>
    <w:rsid w:val="00001971"/>
    <w:rsid w:val="0000199D"/>
    <w:rsid w:val="00002209"/>
    <w:rsid w:val="00002508"/>
    <w:rsid w:val="0000282B"/>
    <w:rsid w:val="000029F2"/>
    <w:rsid w:val="00002CAD"/>
    <w:rsid w:val="00002DDF"/>
    <w:rsid w:val="000030BD"/>
    <w:rsid w:val="00003362"/>
    <w:rsid w:val="00003571"/>
    <w:rsid w:val="0000389D"/>
    <w:rsid w:val="00003B66"/>
    <w:rsid w:val="00003ED3"/>
    <w:rsid w:val="00004275"/>
    <w:rsid w:val="0000514A"/>
    <w:rsid w:val="00005313"/>
    <w:rsid w:val="000053F5"/>
    <w:rsid w:val="000056B7"/>
    <w:rsid w:val="000056ED"/>
    <w:rsid w:val="00005B6E"/>
    <w:rsid w:val="00005BB6"/>
    <w:rsid w:val="00005C56"/>
    <w:rsid w:val="00005CE1"/>
    <w:rsid w:val="000062F2"/>
    <w:rsid w:val="000067A7"/>
    <w:rsid w:val="000072D0"/>
    <w:rsid w:val="00007526"/>
    <w:rsid w:val="00007914"/>
    <w:rsid w:val="000079F6"/>
    <w:rsid w:val="00007A1C"/>
    <w:rsid w:val="00007B95"/>
    <w:rsid w:val="00007DDE"/>
    <w:rsid w:val="00011159"/>
    <w:rsid w:val="000111ED"/>
    <w:rsid w:val="0001168D"/>
    <w:rsid w:val="0001178C"/>
    <w:rsid w:val="000122E4"/>
    <w:rsid w:val="00012D07"/>
    <w:rsid w:val="00012F06"/>
    <w:rsid w:val="00012FF4"/>
    <w:rsid w:val="000132A4"/>
    <w:rsid w:val="00013462"/>
    <w:rsid w:val="000135B0"/>
    <w:rsid w:val="000136C7"/>
    <w:rsid w:val="00013A98"/>
    <w:rsid w:val="00013C83"/>
    <w:rsid w:val="00013DE4"/>
    <w:rsid w:val="0001401B"/>
    <w:rsid w:val="0001411C"/>
    <w:rsid w:val="00014623"/>
    <w:rsid w:val="00014641"/>
    <w:rsid w:val="000146C1"/>
    <w:rsid w:val="0001545A"/>
    <w:rsid w:val="000155A6"/>
    <w:rsid w:val="00015940"/>
    <w:rsid w:val="00015BBC"/>
    <w:rsid w:val="00015FD2"/>
    <w:rsid w:val="00016606"/>
    <w:rsid w:val="000167D6"/>
    <w:rsid w:val="00016A31"/>
    <w:rsid w:val="00016AE7"/>
    <w:rsid w:val="00016BCC"/>
    <w:rsid w:val="00016D6C"/>
    <w:rsid w:val="00017046"/>
    <w:rsid w:val="000170C9"/>
    <w:rsid w:val="00017154"/>
    <w:rsid w:val="000176F0"/>
    <w:rsid w:val="00020071"/>
    <w:rsid w:val="0002059A"/>
    <w:rsid w:val="00020CEC"/>
    <w:rsid w:val="00020E2B"/>
    <w:rsid w:val="00020EC5"/>
    <w:rsid w:val="0002116F"/>
    <w:rsid w:val="00021227"/>
    <w:rsid w:val="000215BF"/>
    <w:rsid w:val="00021684"/>
    <w:rsid w:val="0002180E"/>
    <w:rsid w:val="00021907"/>
    <w:rsid w:val="00021A53"/>
    <w:rsid w:val="00021A77"/>
    <w:rsid w:val="00021C9A"/>
    <w:rsid w:val="00022086"/>
    <w:rsid w:val="00022326"/>
    <w:rsid w:val="00022771"/>
    <w:rsid w:val="00022920"/>
    <w:rsid w:val="00022C70"/>
    <w:rsid w:val="00022C83"/>
    <w:rsid w:val="00022E73"/>
    <w:rsid w:val="00022F0E"/>
    <w:rsid w:val="00022F62"/>
    <w:rsid w:val="000233E7"/>
    <w:rsid w:val="000238E4"/>
    <w:rsid w:val="00023D6C"/>
    <w:rsid w:val="000240FD"/>
    <w:rsid w:val="00024550"/>
    <w:rsid w:val="00024558"/>
    <w:rsid w:val="000247F0"/>
    <w:rsid w:val="000249A1"/>
    <w:rsid w:val="0002528A"/>
    <w:rsid w:val="000252A3"/>
    <w:rsid w:val="00025509"/>
    <w:rsid w:val="0002584A"/>
    <w:rsid w:val="000258B9"/>
    <w:rsid w:val="00025C01"/>
    <w:rsid w:val="00025D30"/>
    <w:rsid w:val="00025D97"/>
    <w:rsid w:val="00026121"/>
    <w:rsid w:val="00026415"/>
    <w:rsid w:val="0002651A"/>
    <w:rsid w:val="0002653F"/>
    <w:rsid w:val="000266DC"/>
    <w:rsid w:val="000266E1"/>
    <w:rsid w:val="00026C5C"/>
    <w:rsid w:val="00026CA8"/>
    <w:rsid w:val="00026F85"/>
    <w:rsid w:val="00027372"/>
    <w:rsid w:val="00027402"/>
    <w:rsid w:val="00027AED"/>
    <w:rsid w:val="00027EC8"/>
    <w:rsid w:val="00030524"/>
    <w:rsid w:val="00030D33"/>
    <w:rsid w:val="0003112E"/>
    <w:rsid w:val="0003116D"/>
    <w:rsid w:val="0003136B"/>
    <w:rsid w:val="00031DFD"/>
    <w:rsid w:val="00032280"/>
    <w:rsid w:val="000322D7"/>
    <w:rsid w:val="00032431"/>
    <w:rsid w:val="0003289C"/>
    <w:rsid w:val="00032AF3"/>
    <w:rsid w:val="00032FD9"/>
    <w:rsid w:val="00033195"/>
    <w:rsid w:val="00033292"/>
    <w:rsid w:val="000334AB"/>
    <w:rsid w:val="000339BD"/>
    <w:rsid w:val="00033A4D"/>
    <w:rsid w:val="00033A86"/>
    <w:rsid w:val="000341FA"/>
    <w:rsid w:val="0003425E"/>
    <w:rsid w:val="00034383"/>
    <w:rsid w:val="000347BF"/>
    <w:rsid w:val="0003484C"/>
    <w:rsid w:val="000350DE"/>
    <w:rsid w:val="000351B9"/>
    <w:rsid w:val="000352BC"/>
    <w:rsid w:val="00035513"/>
    <w:rsid w:val="0003598D"/>
    <w:rsid w:val="00035AAF"/>
    <w:rsid w:val="00035C0D"/>
    <w:rsid w:val="00035EBD"/>
    <w:rsid w:val="00035FB4"/>
    <w:rsid w:val="00036003"/>
    <w:rsid w:val="00036038"/>
    <w:rsid w:val="00036067"/>
    <w:rsid w:val="00036305"/>
    <w:rsid w:val="00036652"/>
    <w:rsid w:val="00036660"/>
    <w:rsid w:val="000369B6"/>
    <w:rsid w:val="00036C9F"/>
    <w:rsid w:val="00036CCE"/>
    <w:rsid w:val="00036E6D"/>
    <w:rsid w:val="00037373"/>
    <w:rsid w:val="000379CF"/>
    <w:rsid w:val="00037A68"/>
    <w:rsid w:val="00037C7A"/>
    <w:rsid w:val="00037F56"/>
    <w:rsid w:val="00037F94"/>
    <w:rsid w:val="000404AF"/>
    <w:rsid w:val="00040850"/>
    <w:rsid w:val="00040881"/>
    <w:rsid w:val="00040C92"/>
    <w:rsid w:val="00040CE4"/>
    <w:rsid w:val="00040E92"/>
    <w:rsid w:val="00041010"/>
    <w:rsid w:val="00041230"/>
    <w:rsid w:val="0004125F"/>
    <w:rsid w:val="00041AE5"/>
    <w:rsid w:val="00041B02"/>
    <w:rsid w:val="00041CDF"/>
    <w:rsid w:val="000420A7"/>
    <w:rsid w:val="00042102"/>
    <w:rsid w:val="0004233E"/>
    <w:rsid w:val="00042382"/>
    <w:rsid w:val="00042737"/>
    <w:rsid w:val="00043A72"/>
    <w:rsid w:val="00043B2C"/>
    <w:rsid w:val="00043C12"/>
    <w:rsid w:val="00043CA4"/>
    <w:rsid w:val="00043EEA"/>
    <w:rsid w:val="00044161"/>
    <w:rsid w:val="000441D3"/>
    <w:rsid w:val="00044572"/>
    <w:rsid w:val="00044590"/>
    <w:rsid w:val="000445B4"/>
    <w:rsid w:val="00044773"/>
    <w:rsid w:val="000447B9"/>
    <w:rsid w:val="000449EA"/>
    <w:rsid w:val="00044DD9"/>
    <w:rsid w:val="00044E4A"/>
    <w:rsid w:val="00044EA6"/>
    <w:rsid w:val="000453C7"/>
    <w:rsid w:val="00045405"/>
    <w:rsid w:val="00045476"/>
    <w:rsid w:val="000457DE"/>
    <w:rsid w:val="0004591F"/>
    <w:rsid w:val="0004596D"/>
    <w:rsid w:val="00045A39"/>
    <w:rsid w:val="00045EB6"/>
    <w:rsid w:val="00045EFE"/>
    <w:rsid w:val="00045FFD"/>
    <w:rsid w:val="00046181"/>
    <w:rsid w:val="000461B4"/>
    <w:rsid w:val="0004628F"/>
    <w:rsid w:val="000472EB"/>
    <w:rsid w:val="0004747A"/>
    <w:rsid w:val="00047512"/>
    <w:rsid w:val="0004782B"/>
    <w:rsid w:val="00047AA9"/>
    <w:rsid w:val="00047B73"/>
    <w:rsid w:val="00047C1F"/>
    <w:rsid w:val="00047D27"/>
    <w:rsid w:val="000501A4"/>
    <w:rsid w:val="000506CA"/>
    <w:rsid w:val="00050D22"/>
    <w:rsid w:val="0005125B"/>
    <w:rsid w:val="00051331"/>
    <w:rsid w:val="00051356"/>
    <w:rsid w:val="00051633"/>
    <w:rsid w:val="000517BC"/>
    <w:rsid w:val="000519BA"/>
    <w:rsid w:val="00052264"/>
    <w:rsid w:val="000522BD"/>
    <w:rsid w:val="000525AB"/>
    <w:rsid w:val="00052656"/>
    <w:rsid w:val="0005273C"/>
    <w:rsid w:val="00052C8C"/>
    <w:rsid w:val="00052E1B"/>
    <w:rsid w:val="00052F23"/>
    <w:rsid w:val="00053222"/>
    <w:rsid w:val="000532A0"/>
    <w:rsid w:val="00053780"/>
    <w:rsid w:val="00053C00"/>
    <w:rsid w:val="00053E2A"/>
    <w:rsid w:val="00053F86"/>
    <w:rsid w:val="0005433E"/>
    <w:rsid w:val="00054495"/>
    <w:rsid w:val="00054867"/>
    <w:rsid w:val="0005492F"/>
    <w:rsid w:val="00054A3C"/>
    <w:rsid w:val="0005505D"/>
    <w:rsid w:val="000550FE"/>
    <w:rsid w:val="00055492"/>
    <w:rsid w:val="00055AB0"/>
    <w:rsid w:val="00055B69"/>
    <w:rsid w:val="00055E01"/>
    <w:rsid w:val="00056615"/>
    <w:rsid w:val="00056665"/>
    <w:rsid w:val="00056669"/>
    <w:rsid w:val="00056D16"/>
    <w:rsid w:val="00056D36"/>
    <w:rsid w:val="00056FBD"/>
    <w:rsid w:val="000575FE"/>
    <w:rsid w:val="000579AC"/>
    <w:rsid w:val="00060157"/>
    <w:rsid w:val="000606F5"/>
    <w:rsid w:val="0006076C"/>
    <w:rsid w:val="000607EB"/>
    <w:rsid w:val="0006089B"/>
    <w:rsid w:val="00060EF7"/>
    <w:rsid w:val="000610FC"/>
    <w:rsid w:val="000611B5"/>
    <w:rsid w:val="00061235"/>
    <w:rsid w:val="000612E3"/>
    <w:rsid w:val="0006133B"/>
    <w:rsid w:val="0006136C"/>
    <w:rsid w:val="000618ED"/>
    <w:rsid w:val="00061CDE"/>
    <w:rsid w:val="000620AB"/>
    <w:rsid w:val="00062224"/>
    <w:rsid w:val="000625E9"/>
    <w:rsid w:val="00062699"/>
    <w:rsid w:val="00062919"/>
    <w:rsid w:val="00063178"/>
    <w:rsid w:val="000638FA"/>
    <w:rsid w:val="00063943"/>
    <w:rsid w:val="00064073"/>
    <w:rsid w:val="000641FC"/>
    <w:rsid w:val="00064328"/>
    <w:rsid w:val="0006476D"/>
    <w:rsid w:val="000647C3"/>
    <w:rsid w:val="000647E5"/>
    <w:rsid w:val="00064B2A"/>
    <w:rsid w:val="00064C18"/>
    <w:rsid w:val="00064C80"/>
    <w:rsid w:val="00064FEF"/>
    <w:rsid w:val="000650BA"/>
    <w:rsid w:val="000650EE"/>
    <w:rsid w:val="0006577D"/>
    <w:rsid w:val="000657AB"/>
    <w:rsid w:val="00065BE4"/>
    <w:rsid w:val="00065F15"/>
    <w:rsid w:val="00066395"/>
    <w:rsid w:val="00066604"/>
    <w:rsid w:val="00066627"/>
    <w:rsid w:val="00066AF3"/>
    <w:rsid w:val="00066BE2"/>
    <w:rsid w:val="00066DAF"/>
    <w:rsid w:val="00067566"/>
    <w:rsid w:val="000676D2"/>
    <w:rsid w:val="000678D3"/>
    <w:rsid w:val="00067B21"/>
    <w:rsid w:val="00067EE8"/>
    <w:rsid w:val="000702FF"/>
    <w:rsid w:val="00070327"/>
    <w:rsid w:val="00070547"/>
    <w:rsid w:val="000707BD"/>
    <w:rsid w:val="00070EC9"/>
    <w:rsid w:val="0007107A"/>
    <w:rsid w:val="000711A2"/>
    <w:rsid w:val="00071345"/>
    <w:rsid w:val="0007144A"/>
    <w:rsid w:val="000719AD"/>
    <w:rsid w:val="00071F0C"/>
    <w:rsid w:val="00071F90"/>
    <w:rsid w:val="00072836"/>
    <w:rsid w:val="000729A9"/>
    <w:rsid w:val="0007375D"/>
    <w:rsid w:val="0007377C"/>
    <w:rsid w:val="00073A02"/>
    <w:rsid w:val="00073B97"/>
    <w:rsid w:val="00074077"/>
    <w:rsid w:val="00074436"/>
    <w:rsid w:val="00074534"/>
    <w:rsid w:val="0007469F"/>
    <w:rsid w:val="00074EA4"/>
    <w:rsid w:val="0007512D"/>
    <w:rsid w:val="00075253"/>
    <w:rsid w:val="000758E2"/>
    <w:rsid w:val="00075AFA"/>
    <w:rsid w:val="00075CBF"/>
    <w:rsid w:val="00075E2F"/>
    <w:rsid w:val="00075EEC"/>
    <w:rsid w:val="000764BD"/>
    <w:rsid w:val="000765A0"/>
    <w:rsid w:val="00076690"/>
    <w:rsid w:val="00076964"/>
    <w:rsid w:val="00076A73"/>
    <w:rsid w:val="00077082"/>
    <w:rsid w:val="00077455"/>
    <w:rsid w:val="00077F36"/>
    <w:rsid w:val="000800CB"/>
    <w:rsid w:val="00080251"/>
    <w:rsid w:val="000802D9"/>
    <w:rsid w:val="000803AB"/>
    <w:rsid w:val="00080CC3"/>
    <w:rsid w:val="00081087"/>
    <w:rsid w:val="00081381"/>
    <w:rsid w:val="000820EB"/>
    <w:rsid w:val="00082283"/>
    <w:rsid w:val="000822A2"/>
    <w:rsid w:val="000822A3"/>
    <w:rsid w:val="0008247D"/>
    <w:rsid w:val="0008265A"/>
    <w:rsid w:val="00082863"/>
    <w:rsid w:val="00083219"/>
    <w:rsid w:val="000833C6"/>
    <w:rsid w:val="00083478"/>
    <w:rsid w:val="00083737"/>
    <w:rsid w:val="0008382A"/>
    <w:rsid w:val="00083C70"/>
    <w:rsid w:val="00083E6D"/>
    <w:rsid w:val="000842E8"/>
    <w:rsid w:val="00084C6C"/>
    <w:rsid w:val="00084CDB"/>
    <w:rsid w:val="00084E00"/>
    <w:rsid w:val="00084F20"/>
    <w:rsid w:val="0008568E"/>
    <w:rsid w:val="000857D9"/>
    <w:rsid w:val="00085A0B"/>
    <w:rsid w:val="00085C2F"/>
    <w:rsid w:val="00086029"/>
    <w:rsid w:val="00086335"/>
    <w:rsid w:val="00086AA1"/>
    <w:rsid w:val="00086ABC"/>
    <w:rsid w:val="00087395"/>
    <w:rsid w:val="000873AB"/>
    <w:rsid w:val="00087781"/>
    <w:rsid w:val="00087815"/>
    <w:rsid w:val="00087B61"/>
    <w:rsid w:val="00087D11"/>
    <w:rsid w:val="00090052"/>
    <w:rsid w:val="00090093"/>
    <w:rsid w:val="000902B8"/>
    <w:rsid w:val="0009079C"/>
    <w:rsid w:val="00090B7D"/>
    <w:rsid w:val="00090C2C"/>
    <w:rsid w:val="000915AB"/>
    <w:rsid w:val="00091934"/>
    <w:rsid w:val="0009195D"/>
    <w:rsid w:val="00091FE3"/>
    <w:rsid w:val="0009297D"/>
    <w:rsid w:val="00092B7A"/>
    <w:rsid w:val="00092CB7"/>
    <w:rsid w:val="0009308D"/>
    <w:rsid w:val="0009328A"/>
    <w:rsid w:val="000933BF"/>
    <w:rsid w:val="000939DD"/>
    <w:rsid w:val="00093B9D"/>
    <w:rsid w:val="00093CE2"/>
    <w:rsid w:val="00093FF5"/>
    <w:rsid w:val="0009421E"/>
    <w:rsid w:val="00094273"/>
    <w:rsid w:val="000943B8"/>
    <w:rsid w:val="00094646"/>
    <w:rsid w:val="000949EE"/>
    <w:rsid w:val="00094CF1"/>
    <w:rsid w:val="00095000"/>
    <w:rsid w:val="0009509B"/>
    <w:rsid w:val="000951BB"/>
    <w:rsid w:val="000951DF"/>
    <w:rsid w:val="000951E1"/>
    <w:rsid w:val="000952AF"/>
    <w:rsid w:val="00095360"/>
    <w:rsid w:val="00095445"/>
    <w:rsid w:val="000955E7"/>
    <w:rsid w:val="00095CE8"/>
    <w:rsid w:val="000965DF"/>
    <w:rsid w:val="000965FB"/>
    <w:rsid w:val="0009665F"/>
    <w:rsid w:val="00096E1B"/>
    <w:rsid w:val="00097248"/>
    <w:rsid w:val="00097281"/>
    <w:rsid w:val="000972C3"/>
    <w:rsid w:val="00097368"/>
    <w:rsid w:val="000974AD"/>
    <w:rsid w:val="00097502"/>
    <w:rsid w:val="00097A3E"/>
    <w:rsid w:val="000A037C"/>
    <w:rsid w:val="000A03EA"/>
    <w:rsid w:val="000A0430"/>
    <w:rsid w:val="000A0459"/>
    <w:rsid w:val="000A0F3A"/>
    <w:rsid w:val="000A1089"/>
    <w:rsid w:val="000A1219"/>
    <w:rsid w:val="000A12E5"/>
    <w:rsid w:val="000A17E7"/>
    <w:rsid w:val="000A1BC5"/>
    <w:rsid w:val="000A1D02"/>
    <w:rsid w:val="000A1DC0"/>
    <w:rsid w:val="000A21B8"/>
    <w:rsid w:val="000A2417"/>
    <w:rsid w:val="000A2512"/>
    <w:rsid w:val="000A29DE"/>
    <w:rsid w:val="000A2DCF"/>
    <w:rsid w:val="000A301E"/>
    <w:rsid w:val="000A33CA"/>
    <w:rsid w:val="000A38E3"/>
    <w:rsid w:val="000A395A"/>
    <w:rsid w:val="000A3B4A"/>
    <w:rsid w:val="000A3BA7"/>
    <w:rsid w:val="000A415F"/>
    <w:rsid w:val="000A458B"/>
    <w:rsid w:val="000A4A78"/>
    <w:rsid w:val="000A5E21"/>
    <w:rsid w:val="000A5ECB"/>
    <w:rsid w:val="000A5F05"/>
    <w:rsid w:val="000A6267"/>
    <w:rsid w:val="000A653D"/>
    <w:rsid w:val="000A6953"/>
    <w:rsid w:val="000A6B8E"/>
    <w:rsid w:val="000A6E71"/>
    <w:rsid w:val="000A70D0"/>
    <w:rsid w:val="000A711A"/>
    <w:rsid w:val="000A7209"/>
    <w:rsid w:val="000A732C"/>
    <w:rsid w:val="000A76CD"/>
    <w:rsid w:val="000A79E8"/>
    <w:rsid w:val="000A7ACA"/>
    <w:rsid w:val="000A7C13"/>
    <w:rsid w:val="000B00B3"/>
    <w:rsid w:val="000B02D8"/>
    <w:rsid w:val="000B0AB6"/>
    <w:rsid w:val="000B0E6C"/>
    <w:rsid w:val="000B0FFB"/>
    <w:rsid w:val="000B101F"/>
    <w:rsid w:val="000B11DC"/>
    <w:rsid w:val="000B16F4"/>
    <w:rsid w:val="000B1712"/>
    <w:rsid w:val="000B1782"/>
    <w:rsid w:val="000B1AB9"/>
    <w:rsid w:val="000B1CAF"/>
    <w:rsid w:val="000B1FBB"/>
    <w:rsid w:val="000B205E"/>
    <w:rsid w:val="000B2074"/>
    <w:rsid w:val="000B249A"/>
    <w:rsid w:val="000B274A"/>
    <w:rsid w:val="000B2768"/>
    <w:rsid w:val="000B278C"/>
    <w:rsid w:val="000B2FB4"/>
    <w:rsid w:val="000B3088"/>
    <w:rsid w:val="000B30FD"/>
    <w:rsid w:val="000B314A"/>
    <w:rsid w:val="000B318E"/>
    <w:rsid w:val="000B3214"/>
    <w:rsid w:val="000B340E"/>
    <w:rsid w:val="000B3684"/>
    <w:rsid w:val="000B3699"/>
    <w:rsid w:val="000B3B3C"/>
    <w:rsid w:val="000B3B79"/>
    <w:rsid w:val="000B40D1"/>
    <w:rsid w:val="000B4166"/>
    <w:rsid w:val="000B41E4"/>
    <w:rsid w:val="000B47B3"/>
    <w:rsid w:val="000B4834"/>
    <w:rsid w:val="000B4840"/>
    <w:rsid w:val="000B486B"/>
    <w:rsid w:val="000B53B0"/>
    <w:rsid w:val="000B5875"/>
    <w:rsid w:val="000B59A7"/>
    <w:rsid w:val="000B59C5"/>
    <w:rsid w:val="000B5AE6"/>
    <w:rsid w:val="000B62D0"/>
    <w:rsid w:val="000B6690"/>
    <w:rsid w:val="000B66BD"/>
    <w:rsid w:val="000B677D"/>
    <w:rsid w:val="000B7403"/>
    <w:rsid w:val="000B7837"/>
    <w:rsid w:val="000B7B99"/>
    <w:rsid w:val="000B7DA5"/>
    <w:rsid w:val="000B7DD5"/>
    <w:rsid w:val="000B7E76"/>
    <w:rsid w:val="000B7FDA"/>
    <w:rsid w:val="000C0228"/>
    <w:rsid w:val="000C0445"/>
    <w:rsid w:val="000C0454"/>
    <w:rsid w:val="000C0550"/>
    <w:rsid w:val="000C0795"/>
    <w:rsid w:val="000C0B84"/>
    <w:rsid w:val="000C1AB5"/>
    <w:rsid w:val="000C2650"/>
    <w:rsid w:val="000C2F95"/>
    <w:rsid w:val="000C338E"/>
    <w:rsid w:val="000C358F"/>
    <w:rsid w:val="000C3CE5"/>
    <w:rsid w:val="000C3F22"/>
    <w:rsid w:val="000C3F27"/>
    <w:rsid w:val="000C469F"/>
    <w:rsid w:val="000C49B6"/>
    <w:rsid w:val="000C4A3B"/>
    <w:rsid w:val="000C4A62"/>
    <w:rsid w:val="000C4BCD"/>
    <w:rsid w:val="000C4DDA"/>
    <w:rsid w:val="000C4EAC"/>
    <w:rsid w:val="000C5105"/>
    <w:rsid w:val="000C53F1"/>
    <w:rsid w:val="000C5682"/>
    <w:rsid w:val="000C61F5"/>
    <w:rsid w:val="000C66AE"/>
    <w:rsid w:val="000C679F"/>
    <w:rsid w:val="000C6903"/>
    <w:rsid w:val="000C714C"/>
    <w:rsid w:val="000C7168"/>
    <w:rsid w:val="000C74F8"/>
    <w:rsid w:val="000C7633"/>
    <w:rsid w:val="000C7880"/>
    <w:rsid w:val="000C7BFA"/>
    <w:rsid w:val="000D0047"/>
    <w:rsid w:val="000D0471"/>
    <w:rsid w:val="000D049B"/>
    <w:rsid w:val="000D0558"/>
    <w:rsid w:val="000D081F"/>
    <w:rsid w:val="000D08BA"/>
    <w:rsid w:val="000D08EC"/>
    <w:rsid w:val="000D0989"/>
    <w:rsid w:val="000D0AB9"/>
    <w:rsid w:val="000D0B68"/>
    <w:rsid w:val="000D0B86"/>
    <w:rsid w:val="000D10F8"/>
    <w:rsid w:val="000D1138"/>
    <w:rsid w:val="000D13BC"/>
    <w:rsid w:val="000D18E1"/>
    <w:rsid w:val="000D1BFC"/>
    <w:rsid w:val="000D1EAF"/>
    <w:rsid w:val="000D1EEA"/>
    <w:rsid w:val="000D2198"/>
    <w:rsid w:val="000D253D"/>
    <w:rsid w:val="000D29C6"/>
    <w:rsid w:val="000D2A38"/>
    <w:rsid w:val="000D2BF7"/>
    <w:rsid w:val="000D30D7"/>
    <w:rsid w:val="000D32CE"/>
    <w:rsid w:val="000D3B8D"/>
    <w:rsid w:val="000D3BE5"/>
    <w:rsid w:val="000D3BF8"/>
    <w:rsid w:val="000D3DA9"/>
    <w:rsid w:val="000D4013"/>
    <w:rsid w:val="000D41D7"/>
    <w:rsid w:val="000D444E"/>
    <w:rsid w:val="000D4460"/>
    <w:rsid w:val="000D497A"/>
    <w:rsid w:val="000D4C82"/>
    <w:rsid w:val="000D4C92"/>
    <w:rsid w:val="000D4E96"/>
    <w:rsid w:val="000D4F97"/>
    <w:rsid w:val="000D511C"/>
    <w:rsid w:val="000D51C7"/>
    <w:rsid w:val="000D571F"/>
    <w:rsid w:val="000D57E9"/>
    <w:rsid w:val="000D5F6D"/>
    <w:rsid w:val="000D6373"/>
    <w:rsid w:val="000D6C94"/>
    <w:rsid w:val="000D71F7"/>
    <w:rsid w:val="000D725D"/>
    <w:rsid w:val="000D75F4"/>
    <w:rsid w:val="000D766A"/>
    <w:rsid w:val="000D7695"/>
    <w:rsid w:val="000D7CAF"/>
    <w:rsid w:val="000E00FA"/>
    <w:rsid w:val="000E017A"/>
    <w:rsid w:val="000E0224"/>
    <w:rsid w:val="000E036C"/>
    <w:rsid w:val="000E0668"/>
    <w:rsid w:val="000E0DE9"/>
    <w:rsid w:val="000E1173"/>
    <w:rsid w:val="000E1263"/>
    <w:rsid w:val="000E1270"/>
    <w:rsid w:val="000E19DD"/>
    <w:rsid w:val="000E1C96"/>
    <w:rsid w:val="000E1F3B"/>
    <w:rsid w:val="000E20DC"/>
    <w:rsid w:val="000E2540"/>
    <w:rsid w:val="000E2894"/>
    <w:rsid w:val="000E29A8"/>
    <w:rsid w:val="000E2AAA"/>
    <w:rsid w:val="000E2D38"/>
    <w:rsid w:val="000E3100"/>
    <w:rsid w:val="000E3491"/>
    <w:rsid w:val="000E34AF"/>
    <w:rsid w:val="000E3512"/>
    <w:rsid w:val="000E3BBA"/>
    <w:rsid w:val="000E3D16"/>
    <w:rsid w:val="000E3DA3"/>
    <w:rsid w:val="000E3FB6"/>
    <w:rsid w:val="000E4272"/>
    <w:rsid w:val="000E434A"/>
    <w:rsid w:val="000E4453"/>
    <w:rsid w:val="000E448B"/>
    <w:rsid w:val="000E4522"/>
    <w:rsid w:val="000E4590"/>
    <w:rsid w:val="000E4856"/>
    <w:rsid w:val="000E4B37"/>
    <w:rsid w:val="000E4B9B"/>
    <w:rsid w:val="000E4C16"/>
    <w:rsid w:val="000E5418"/>
    <w:rsid w:val="000E5759"/>
    <w:rsid w:val="000E5AD8"/>
    <w:rsid w:val="000E5C2B"/>
    <w:rsid w:val="000E60AB"/>
    <w:rsid w:val="000E6324"/>
    <w:rsid w:val="000E64A2"/>
    <w:rsid w:val="000E676C"/>
    <w:rsid w:val="000E6CE8"/>
    <w:rsid w:val="000E7042"/>
    <w:rsid w:val="000E7142"/>
    <w:rsid w:val="000E7284"/>
    <w:rsid w:val="000E74FC"/>
    <w:rsid w:val="000E773E"/>
    <w:rsid w:val="000E7DA2"/>
    <w:rsid w:val="000E7E10"/>
    <w:rsid w:val="000E7E79"/>
    <w:rsid w:val="000F0248"/>
    <w:rsid w:val="000F0555"/>
    <w:rsid w:val="000F0C07"/>
    <w:rsid w:val="000F0C0C"/>
    <w:rsid w:val="000F0C2C"/>
    <w:rsid w:val="000F0CA0"/>
    <w:rsid w:val="000F118D"/>
    <w:rsid w:val="000F1634"/>
    <w:rsid w:val="000F1D9B"/>
    <w:rsid w:val="000F2009"/>
    <w:rsid w:val="000F22DE"/>
    <w:rsid w:val="000F22E9"/>
    <w:rsid w:val="000F258C"/>
    <w:rsid w:val="000F2A12"/>
    <w:rsid w:val="000F2C71"/>
    <w:rsid w:val="000F2DDD"/>
    <w:rsid w:val="000F2E78"/>
    <w:rsid w:val="000F2EC2"/>
    <w:rsid w:val="000F3307"/>
    <w:rsid w:val="000F3431"/>
    <w:rsid w:val="000F36C6"/>
    <w:rsid w:val="000F3843"/>
    <w:rsid w:val="000F3CD8"/>
    <w:rsid w:val="000F46AC"/>
    <w:rsid w:val="000F47E6"/>
    <w:rsid w:val="000F47E7"/>
    <w:rsid w:val="000F4914"/>
    <w:rsid w:val="000F4B4F"/>
    <w:rsid w:val="000F50AB"/>
    <w:rsid w:val="000F529E"/>
    <w:rsid w:val="000F5927"/>
    <w:rsid w:val="000F5E29"/>
    <w:rsid w:val="000F613A"/>
    <w:rsid w:val="000F6432"/>
    <w:rsid w:val="000F6466"/>
    <w:rsid w:val="000F6A83"/>
    <w:rsid w:val="000F724C"/>
    <w:rsid w:val="000F7341"/>
    <w:rsid w:val="000F7435"/>
    <w:rsid w:val="000F7465"/>
    <w:rsid w:val="000F75B1"/>
    <w:rsid w:val="000F7950"/>
    <w:rsid w:val="000F7B19"/>
    <w:rsid w:val="000F7B5F"/>
    <w:rsid w:val="000F7D7E"/>
    <w:rsid w:val="000F7EE1"/>
    <w:rsid w:val="001001CD"/>
    <w:rsid w:val="00100271"/>
    <w:rsid w:val="001002A8"/>
    <w:rsid w:val="001005D6"/>
    <w:rsid w:val="00100C20"/>
    <w:rsid w:val="00100E5F"/>
    <w:rsid w:val="00100E8F"/>
    <w:rsid w:val="0010122B"/>
    <w:rsid w:val="00101328"/>
    <w:rsid w:val="001014B8"/>
    <w:rsid w:val="00101649"/>
    <w:rsid w:val="001018FB"/>
    <w:rsid w:val="00101943"/>
    <w:rsid w:val="0010194A"/>
    <w:rsid w:val="001019F8"/>
    <w:rsid w:val="00101CBD"/>
    <w:rsid w:val="00101F4D"/>
    <w:rsid w:val="00102482"/>
    <w:rsid w:val="0010285E"/>
    <w:rsid w:val="001028B6"/>
    <w:rsid w:val="00102DB4"/>
    <w:rsid w:val="00102E4C"/>
    <w:rsid w:val="00102FDE"/>
    <w:rsid w:val="00103679"/>
    <w:rsid w:val="00103D03"/>
    <w:rsid w:val="00104081"/>
    <w:rsid w:val="001041D5"/>
    <w:rsid w:val="001047A2"/>
    <w:rsid w:val="001048E5"/>
    <w:rsid w:val="00104C85"/>
    <w:rsid w:val="00105155"/>
    <w:rsid w:val="001053D6"/>
    <w:rsid w:val="001054F0"/>
    <w:rsid w:val="00105759"/>
    <w:rsid w:val="00105ABF"/>
    <w:rsid w:val="001060D2"/>
    <w:rsid w:val="0010652D"/>
    <w:rsid w:val="00106537"/>
    <w:rsid w:val="001069BA"/>
    <w:rsid w:val="00106A7D"/>
    <w:rsid w:val="00106B46"/>
    <w:rsid w:val="00106F55"/>
    <w:rsid w:val="00107091"/>
    <w:rsid w:val="00107168"/>
    <w:rsid w:val="0010752F"/>
    <w:rsid w:val="00107636"/>
    <w:rsid w:val="0010783E"/>
    <w:rsid w:val="00110177"/>
    <w:rsid w:val="00110540"/>
    <w:rsid w:val="00110881"/>
    <w:rsid w:val="001108C3"/>
    <w:rsid w:val="00110C31"/>
    <w:rsid w:val="001116B4"/>
    <w:rsid w:val="00111710"/>
    <w:rsid w:val="00111C4B"/>
    <w:rsid w:val="0011256D"/>
    <w:rsid w:val="001127AA"/>
    <w:rsid w:val="00112852"/>
    <w:rsid w:val="00112B3A"/>
    <w:rsid w:val="00112BC5"/>
    <w:rsid w:val="00112C9A"/>
    <w:rsid w:val="00112F25"/>
    <w:rsid w:val="0011365B"/>
    <w:rsid w:val="00113762"/>
    <w:rsid w:val="00113B65"/>
    <w:rsid w:val="00113C3D"/>
    <w:rsid w:val="00113D89"/>
    <w:rsid w:val="00113DDD"/>
    <w:rsid w:val="001142FC"/>
    <w:rsid w:val="001143CF"/>
    <w:rsid w:val="00114763"/>
    <w:rsid w:val="00114B09"/>
    <w:rsid w:val="00114C38"/>
    <w:rsid w:val="00114D98"/>
    <w:rsid w:val="00114EE2"/>
    <w:rsid w:val="001152D1"/>
    <w:rsid w:val="001153C5"/>
    <w:rsid w:val="001156D9"/>
    <w:rsid w:val="0011572E"/>
    <w:rsid w:val="00115B25"/>
    <w:rsid w:val="00115BBD"/>
    <w:rsid w:val="00115F27"/>
    <w:rsid w:val="00115FD7"/>
    <w:rsid w:val="0011620A"/>
    <w:rsid w:val="00116236"/>
    <w:rsid w:val="00116793"/>
    <w:rsid w:val="00116C72"/>
    <w:rsid w:val="00116E94"/>
    <w:rsid w:val="00117E16"/>
    <w:rsid w:val="00117E98"/>
    <w:rsid w:val="00117FD7"/>
    <w:rsid w:val="001208F1"/>
    <w:rsid w:val="00120976"/>
    <w:rsid w:val="00120CAB"/>
    <w:rsid w:val="00121501"/>
    <w:rsid w:val="00121B78"/>
    <w:rsid w:val="00121BBE"/>
    <w:rsid w:val="00121C70"/>
    <w:rsid w:val="00122303"/>
    <w:rsid w:val="00122369"/>
    <w:rsid w:val="00122384"/>
    <w:rsid w:val="00122C26"/>
    <w:rsid w:val="00123C3A"/>
    <w:rsid w:val="001240F4"/>
    <w:rsid w:val="0012428E"/>
    <w:rsid w:val="00124AF4"/>
    <w:rsid w:val="00124D25"/>
    <w:rsid w:val="00124EA3"/>
    <w:rsid w:val="00125397"/>
    <w:rsid w:val="00125545"/>
    <w:rsid w:val="00125A5E"/>
    <w:rsid w:val="00125F07"/>
    <w:rsid w:val="0012612D"/>
    <w:rsid w:val="001261CA"/>
    <w:rsid w:val="00126506"/>
    <w:rsid w:val="0012655D"/>
    <w:rsid w:val="00126A79"/>
    <w:rsid w:val="00126E15"/>
    <w:rsid w:val="00126F07"/>
    <w:rsid w:val="0012701C"/>
    <w:rsid w:val="00127295"/>
    <w:rsid w:val="001277C2"/>
    <w:rsid w:val="001278B3"/>
    <w:rsid w:val="0012792B"/>
    <w:rsid w:val="00130286"/>
    <w:rsid w:val="00130691"/>
    <w:rsid w:val="001307DE"/>
    <w:rsid w:val="00130DBC"/>
    <w:rsid w:val="00130F55"/>
    <w:rsid w:val="00131005"/>
    <w:rsid w:val="0013194C"/>
    <w:rsid w:val="00131A70"/>
    <w:rsid w:val="00131AAB"/>
    <w:rsid w:val="00131AF4"/>
    <w:rsid w:val="0013247D"/>
    <w:rsid w:val="001325F2"/>
    <w:rsid w:val="00132985"/>
    <w:rsid w:val="00132E98"/>
    <w:rsid w:val="00132F6F"/>
    <w:rsid w:val="001332E5"/>
    <w:rsid w:val="001336F3"/>
    <w:rsid w:val="0013373F"/>
    <w:rsid w:val="00133BB0"/>
    <w:rsid w:val="0013403F"/>
    <w:rsid w:val="001341CE"/>
    <w:rsid w:val="001343E8"/>
    <w:rsid w:val="00134424"/>
    <w:rsid w:val="001345E9"/>
    <w:rsid w:val="001349A4"/>
    <w:rsid w:val="00134CAE"/>
    <w:rsid w:val="00135657"/>
    <w:rsid w:val="00135763"/>
    <w:rsid w:val="001357ED"/>
    <w:rsid w:val="00135C95"/>
    <w:rsid w:val="00136011"/>
    <w:rsid w:val="0013686E"/>
    <w:rsid w:val="0013690F"/>
    <w:rsid w:val="00136AD8"/>
    <w:rsid w:val="00136C76"/>
    <w:rsid w:val="00136DD1"/>
    <w:rsid w:val="00137308"/>
    <w:rsid w:val="001373F7"/>
    <w:rsid w:val="00137626"/>
    <w:rsid w:val="00137652"/>
    <w:rsid w:val="00137B7E"/>
    <w:rsid w:val="00137CC3"/>
    <w:rsid w:val="00137DBD"/>
    <w:rsid w:val="00137EA6"/>
    <w:rsid w:val="00140055"/>
    <w:rsid w:val="001400F2"/>
    <w:rsid w:val="001403FE"/>
    <w:rsid w:val="00140443"/>
    <w:rsid w:val="001407A9"/>
    <w:rsid w:val="00140AAD"/>
    <w:rsid w:val="00140C78"/>
    <w:rsid w:val="00140CD2"/>
    <w:rsid w:val="00140D46"/>
    <w:rsid w:val="00141058"/>
    <w:rsid w:val="00141D74"/>
    <w:rsid w:val="00142441"/>
    <w:rsid w:val="00142539"/>
    <w:rsid w:val="0014267B"/>
    <w:rsid w:val="0014270F"/>
    <w:rsid w:val="0014276B"/>
    <w:rsid w:val="00142D25"/>
    <w:rsid w:val="0014309B"/>
    <w:rsid w:val="001432AF"/>
    <w:rsid w:val="001432FE"/>
    <w:rsid w:val="001433A9"/>
    <w:rsid w:val="00143ABD"/>
    <w:rsid w:val="00143C49"/>
    <w:rsid w:val="00143DA8"/>
    <w:rsid w:val="0014404E"/>
    <w:rsid w:val="0014425B"/>
    <w:rsid w:val="001445C4"/>
    <w:rsid w:val="0014460A"/>
    <w:rsid w:val="00144661"/>
    <w:rsid w:val="001448EA"/>
    <w:rsid w:val="0014496A"/>
    <w:rsid w:val="00144B55"/>
    <w:rsid w:val="00144DE9"/>
    <w:rsid w:val="00144EF9"/>
    <w:rsid w:val="00144F4C"/>
    <w:rsid w:val="00145875"/>
    <w:rsid w:val="00145EF0"/>
    <w:rsid w:val="00146138"/>
    <w:rsid w:val="0014643F"/>
    <w:rsid w:val="001466AD"/>
    <w:rsid w:val="00146765"/>
    <w:rsid w:val="00146925"/>
    <w:rsid w:val="001469C6"/>
    <w:rsid w:val="00146F0C"/>
    <w:rsid w:val="00146F66"/>
    <w:rsid w:val="00147797"/>
    <w:rsid w:val="0014784A"/>
    <w:rsid w:val="001479D1"/>
    <w:rsid w:val="001479F2"/>
    <w:rsid w:val="00147AC2"/>
    <w:rsid w:val="00147F57"/>
    <w:rsid w:val="001500C9"/>
    <w:rsid w:val="00150654"/>
    <w:rsid w:val="001506A0"/>
    <w:rsid w:val="00150A88"/>
    <w:rsid w:val="00150EC3"/>
    <w:rsid w:val="0015169C"/>
    <w:rsid w:val="00151A0D"/>
    <w:rsid w:val="00151AD5"/>
    <w:rsid w:val="00151CD7"/>
    <w:rsid w:val="00151E7D"/>
    <w:rsid w:val="001521E5"/>
    <w:rsid w:val="00152232"/>
    <w:rsid w:val="00152344"/>
    <w:rsid w:val="0015263C"/>
    <w:rsid w:val="00152706"/>
    <w:rsid w:val="00152728"/>
    <w:rsid w:val="001529C1"/>
    <w:rsid w:val="00152A47"/>
    <w:rsid w:val="00153ADE"/>
    <w:rsid w:val="00153C83"/>
    <w:rsid w:val="00154225"/>
    <w:rsid w:val="001543A0"/>
    <w:rsid w:val="00154670"/>
    <w:rsid w:val="001549BF"/>
    <w:rsid w:val="00154D28"/>
    <w:rsid w:val="001554F2"/>
    <w:rsid w:val="00155902"/>
    <w:rsid w:val="00155CA7"/>
    <w:rsid w:val="00156167"/>
    <w:rsid w:val="00156219"/>
    <w:rsid w:val="001566EC"/>
    <w:rsid w:val="00156816"/>
    <w:rsid w:val="001572C1"/>
    <w:rsid w:val="001575D4"/>
    <w:rsid w:val="00157ED6"/>
    <w:rsid w:val="00157F9C"/>
    <w:rsid w:val="00160040"/>
    <w:rsid w:val="0016042C"/>
    <w:rsid w:val="00160C78"/>
    <w:rsid w:val="00161521"/>
    <w:rsid w:val="0016165C"/>
    <w:rsid w:val="001617AD"/>
    <w:rsid w:val="0016196C"/>
    <w:rsid w:val="00161EEF"/>
    <w:rsid w:val="0016202E"/>
    <w:rsid w:val="00162515"/>
    <w:rsid w:val="00162ACE"/>
    <w:rsid w:val="00162B22"/>
    <w:rsid w:val="001630AC"/>
    <w:rsid w:val="00163372"/>
    <w:rsid w:val="001635BA"/>
    <w:rsid w:val="0016360D"/>
    <w:rsid w:val="0016383E"/>
    <w:rsid w:val="00163AE4"/>
    <w:rsid w:val="00163ED5"/>
    <w:rsid w:val="00163EFB"/>
    <w:rsid w:val="00164349"/>
    <w:rsid w:val="0016456F"/>
    <w:rsid w:val="001645BE"/>
    <w:rsid w:val="00164646"/>
    <w:rsid w:val="00164D3E"/>
    <w:rsid w:val="00165028"/>
    <w:rsid w:val="0016556A"/>
    <w:rsid w:val="00165892"/>
    <w:rsid w:val="00165904"/>
    <w:rsid w:val="00165D91"/>
    <w:rsid w:val="00165F1D"/>
    <w:rsid w:val="001660E3"/>
    <w:rsid w:val="00166931"/>
    <w:rsid w:val="001669A5"/>
    <w:rsid w:val="00166AD8"/>
    <w:rsid w:val="00166B03"/>
    <w:rsid w:val="00166B19"/>
    <w:rsid w:val="00166C67"/>
    <w:rsid w:val="001670D5"/>
    <w:rsid w:val="001672D6"/>
    <w:rsid w:val="001673D6"/>
    <w:rsid w:val="001673EE"/>
    <w:rsid w:val="0016791C"/>
    <w:rsid w:val="00167B15"/>
    <w:rsid w:val="00167D29"/>
    <w:rsid w:val="00170008"/>
    <w:rsid w:val="00170194"/>
    <w:rsid w:val="001706E3"/>
    <w:rsid w:val="001706F8"/>
    <w:rsid w:val="00170777"/>
    <w:rsid w:val="001707A1"/>
    <w:rsid w:val="001709D0"/>
    <w:rsid w:val="001712BD"/>
    <w:rsid w:val="0017135B"/>
    <w:rsid w:val="001716B4"/>
    <w:rsid w:val="00171756"/>
    <w:rsid w:val="001717C6"/>
    <w:rsid w:val="001718D0"/>
    <w:rsid w:val="00171E33"/>
    <w:rsid w:val="001724A7"/>
    <w:rsid w:val="001728F2"/>
    <w:rsid w:val="0017298A"/>
    <w:rsid w:val="00172E0D"/>
    <w:rsid w:val="001731E8"/>
    <w:rsid w:val="001732AE"/>
    <w:rsid w:val="00173A52"/>
    <w:rsid w:val="00173ADA"/>
    <w:rsid w:val="00173F65"/>
    <w:rsid w:val="001744EF"/>
    <w:rsid w:val="00174A92"/>
    <w:rsid w:val="00174AA1"/>
    <w:rsid w:val="00174BD4"/>
    <w:rsid w:val="00174CEF"/>
    <w:rsid w:val="0017524D"/>
    <w:rsid w:val="00175527"/>
    <w:rsid w:val="001755E3"/>
    <w:rsid w:val="00175958"/>
    <w:rsid w:val="00175D56"/>
    <w:rsid w:val="00175EF7"/>
    <w:rsid w:val="00176027"/>
    <w:rsid w:val="0017628F"/>
    <w:rsid w:val="001762AA"/>
    <w:rsid w:val="001762F2"/>
    <w:rsid w:val="0017634B"/>
    <w:rsid w:val="00176469"/>
    <w:rsid w:val="001767FF"/>
    <w:rsid w:val="00176811"/>
    <w:rsid w:val="00176981"/>
    <w:rsid w:val="00176B11"/>
    <w:rsid w:val="00176BFE"/>
    <w:rsid w:val="00176C62"/>
    <w:rsid w:val="00177103"/>
    <w:rsid w:val="00177307"/>
    <w:rsid w:val="00177E86"/>
    <w:rsid w:val="00180167"/>
    <w:rsid w:val="00180AD2"/>
    <w:rsid w:val="00180D5D"/>
    <w:rsid w:val="00180E68"/>
    <w:rsid w:val="00180EA9"/>
    <w:rsid w:val="001812FE"/>
    <w:rsid w:val="00181495"/>
    <w:rsid w:val="00181883"/>
    <w:rsid w:val="00181974"/>
    <w:rsid w:val="00181B34"/>
    <w:rsid w:val="00181F8E"/>
    <w:rsid w:val="00182053"/>
    <w:rsid w:val="001822E5"/>
    <w:rsid w:val="00182698"/>
    <w:rsid w:val="00182791"/>
    <w:rsid w:val="00182A4C"/>
    <w:rsid w:val="00182DE0"/>
    <w:rsid w:val="00182E41"/>
    <w:rsid w:val="00182E72"/>
    <w:rsid w:val="001830B7"/>
    <w:rsid w:val="00183178"/>
    <w:rsid w:val="001832A7"/>
    <w:rsid w:val="001833BF"/>
    <w:rsid w:val="0018386B"/>
    <w:rsid w:val="00183950"/>
    <w:rsid w:val="001839B1"/>
    <w:rsid w:val="00183DEA"/>
    <w:rsid w:val="0018483D"/>
    <w:rsid w:val="001849FE"/>
    <w:rsid w:val="00185329"/>
    <w:rsid w:val="0018566F"/>
    <w:rsid w:val="001856AB"/>
    <w:rsid w:val="00185F52"/>
    <w:rsid w:val="0018639A"/>
    <w:rsid w:val="00186624"/>
    <w:rsid w:val="001866C7"/>
    <w:rsid w:val="001867A4"/>
    <w:rsid w:val="00186897"/>
    <w:rsid w:val="001868BB"/>
    <w:rsid w:val="00186B6B"/>
    <w:rsid w:val="00186E94"/>
    <w:rsid w:val="001873C5"/>
    <w:rsid w:val="0018747E"/>
    <w:rsid w:val="001874B2"/>
    <w:rsid w:val="00187CFE"/>
    <w:rsid w:val="00187D87"/>
    <w:rsid w:val="00187DBF"/>
    <w:rsid w:val="00190558"/>
    <w:rsid w:val="0019069F"/>
    <w:rsid w:val="00190710"/>
    <w:rsid w:val="0019090E"/>
    <w:rsid w:val="0019102E"/>
    <w:rsid w:val="001914CE"/>
    <w:rsid w:val="00191BC5"/>
    <w:rsid w:val="00191F8B"/>
    <w:rsid w:val="0019205B"/>
    <w:rsid w:val="00192300"/>
    <w:rsid w:val="00192824"/>
    <w:rsid w:val="00192828"/>
    <w:rsid w:val="0019298A"/>
    <w:rsid w:val="00192AE9"/>
    <w:rsid w:val="00192B24"/>
    <w:rsid w:val="00192D18"/>
    <w:rsid w:val="00192DF6"/>
    <w:rsid w:val="00193016"/>
    <w:rsid w:val="001935F7"/>
    <w:rsid w:val="001937CD"/>
    <w:rsid w:val="0019380A"/>
    <w:rsid w:val="00193A11"/>
    <w:rsid w:val="00193DE8"/>
    <w:rsid w:val="00194023"/>
    <w:rsid w:val="001944B3"/>
    <w:rsid w:val="0019494E"/>
    <w:rsid w:val="00194BB9"/>
    <w:rsid w:val="00194F8A"/>
    <w:rsid w:val="00194FC7"/>
    <w:rsid w:val="00195057"/>
    <w:rsid w:val="001950ED"/>
    <w:rsid w:val="00195590"/>
    <w:rsid w:val="00195621"/>
    <w:rsid w:val="00195B44"/>
    <w:rsid w:val="00196165"/>
    <w:rsid w:val="00196232"/>
    <w:rsid w:val="001966FB"/>
    <w:rsid w:val="00196A53"/>
    <w:rsid w:val="0019706C"/>
    <w:rsid w:val="00197459"/>
    <w:rsid w:val="00197561"/>
    <w:rsid w:val="00197727"/>
    <w:rsid w:val="001977A7"/>
    <w:rsid w:val="00197B3D"/>
    <w:rsid w:val="00197DCB"/>
    <w:rsid w:val="00197F32"/>
    <w:rsid w:val="00197F45"/>
    <w:rsid w:val="001A0069"/>
    <w:rsid w:val="001A00D3"/>
    <w:rsid w:val="001A0D09"/>
    <w:rsid w:val="001A131B"/>
    <w:rsid w:val="001A15A7"/>
    <w:rsid w:val="001A17AA"/>
    <w:rsid w:val="001A1ABE"/>
    <w:rsid w:val="001A1C33"/>
    <w:rsid w:val="001A1E60"/>
    <w:rsid w:val="001A1EFD"/>
    <w:rsid w:val="001A22B5"/>
    <w:rsid w:val="001A23C4"/>
    <w:rsid w:val="001A240A"/>
    <w:rsid w:val="001A2AAE"/>
    <w:rsid w:val="001A2BF9"/>
    <w:rsid w:val="001A2D10"/>
    <w:rsid w:val="001A310B"/>
    <w:rsid w:val="001A3203"/>
    <w:rsid w:val="001A3343"/>
    <w:rsid w:val="001A3CF2"/>
    <w:rsid w:val="001A3DD7"/>
    <w:rsid w:val="001A3E2E"/>
    <w:rsid w:val="001A418A"/>
    <w:rsid w:val="001A41EE"/>
    <w:rsid w:val="001A433E"/>
    <w:rsid w:val="001A4340"/>
    <w:rsid w:val="001A5215"/>
    <w:rsid w:val="001A52CB"/>
    <w:rsid w:val="001A560F"/>
    <w:rsid w:val="001A5865"/>
    <w:rsid w:val="001A5A64"/>
    <w:rsid w:val="001A5B93"/>
    <w:rsid w:val="001A5F0D"/>
    <w:rsid w:val="001A66CD"/>
    <w:rsid w:val="001A6A08"/>
    <w:rsid w:val="001A6DF5"/>
    <w:rsid w:val="001A7204"/>
    <w:rsid w:val="001A746C"/>
    <w:rsid w:val="001A765E"/>
    <w:rsid w:val="001B0687"/>
    <w:rsid w:val="001B0A27"/>
    <w:rsid w:val="001B0C3F"/>
    <w:rsid w:val="001B1425"/>
    <w:rsid w:val="001B1A24"/>
    <w:rsid w:val="001B1BF4"/>
    <w:rsid w:val="001B1CFB"/>
    <w:rsid w:val="001B1D49"/>
    <w:rsid w:val="001B1EF9"/>
    <w:rsid w:val="001B1FF3"/>
    <w:rsid w:val="001B213D"/>
    <w:rsid w:val="001B2164"/>
    <w:rsid w:val="001B220F"/>
    <w:rsid w:val="001B233D"/>
    <w:rsid w:val="001B240C"/>
    <w:rsid w:val="001B248D"/>
    <w:rsid w:val="001B25A0"/>
    <w:rsid w:val="001B270D"/>
    <w:rsid w:val="001B27D0"/>
    <w:rsid w:val="001B2AF7"/>
    <w:rsid w:val="001B2B8C"/>
    <w:rsid w:val="001B2F09"/>
    <w:rsid w:val="001B3220"/>
    <w:rsid w:val="001B32EE"/>
    <w:rsid w:val="001B33A7"/>
    <w:rsid w:val="001B3535"/>
    <w:rsid w:val="001B366E"/>
    <w:rsid w:val="001B3749"/>
    <w:rsid w:val="001B3B6F"/>
    <w:rsid w:val="001B42B2"/>
    <w:rsid w:val="001B45AD"/>
    <w:rsid w:val="001B4802"/>
    <w:rsid w:val="001B4D75"/>
    <w:rsid w:val="001B4DE3"/>
    <w:rsid w:val="001B4DF1"/>
    <w:rsid w:val="001B4E85"/>
    <w:rsid w:val="001B5009"/>
    <w:rsid w:val="001B5364"/>
    <w:rsid w:val="001B5648"/>
    <w:rsid w:val="001B5ABF"/>
    <w:rsid w:val="001B6183"/>
    <w:rsid w:val="001B64B3"/>
    <w:rsid w:val="001B6816"/>
    <w:rsid w:val="001B6926"/>
    <w:rsid w:val="001B6CC8"/>
    <w:rsid w:val="001B6F38"/>
    <w:rsid w:val="001B731D"/>
    <w:rsid w:val="001B7407"/>
    <w:rsid w:val="001B7A77"/>
    <w:rsid w:val="001B7D8F"/>
    <w:rsid w:val="001B7FA4"/>
    <w:rsid w:val="001C0136"/>
    <w:rsid w:val="001C0480"/>
    <w:rsid w:val="001C058C"/>
    <w:rsid w:val="001C0EAA"/>
    <w:rsid w:val="001C0F8B"/>
    <w:rsid w:val="001C10B2"/>
    <w:rsid w:val="001C1318"/>
    <w:rsid w:val="001C137C"/>
    <w:rsid w:val="001C1636"/>
    <w:rsid w:val="001C18D3"/>
    <w:rsid w:val="001C1933"/>
    <w:rsid w:val="001C1D40"/>
    <w:rsid w:val="001C22FB"/>
    <w:rsid w:val="001C260F"/>
    <w:rsid w:val="001C2667"/>
    <w:rsid w:val="001C29DF"/>
    <w:rsid w:val="001C2A0D"/>
    <w:rsid w:val="001C2D34"/>
    <w:rsid w:val="001C354A"/>
    <w:rsid w:val="001C39F8"/>
    <w:rsid w:val="001C3A43"/>
    <w:rsid w:val="001C3B17"/>
    <w:rsid w:val="001C3B88"/>
    <w:rsid w:val="001C3CF8"/>
    <w:rsid w:val="001C3E25"/>
    <w:rsid w:val="001C3EE9"/>
    <w:rsid w:val="001C40BE"/>
    <w:rsid w:val="001C462A"/>
    <w:rsid w:val="001C480A"/>
    <w:rsid w:val="001C4BC6"/>
    <w:rsid w:val="001C4C69"/>
    <w:rsid w:val="001C4C6D"/>
    <w:rsid w:val="001C4FE4"/>
    <w:rsid w:val="001C508A"/>
    <w:rsid w:val="001C5A4F"/>
    <w:rsid w:val="001C5C29"/>
    <w:rsid w:val="001C6154"/>
    <w:rsid w:val="001C635E"/>
    <w:rsid w:val="001C6416"/>
    <w:rsid w:val="001C6C0F"/>
    <w:rsid w:val="001C6D63"/>
    <w:rsid w:val="001C7307"/>
    <w:rsid w:val="001C734A"/>
    <w:rsid w:val="001C7593"/>
    <w:rsid w:val="001C7BF3"/>
    <w:rsid w:val="001C7D5F"/>
    <w:rsid w:val="001C7DED"/>
    <w:rsid w:val="001C7E60"/>
    <w:rsid w:val="001D0008"/>
    <w:rsid w:val="001D0234"/>
    <w:rsid w:val="001D0B72"/>
    <w:rsid w:val="001D12A5"/>
    <w:rsid w:val="001D1808"/>
    <w:rsid w:val="001D19A5"/>
    <w:rsid w:val="001D1BB9"/>
    <w:rsid w:val="001D1EF4"/>
    <w:rsid w:val="001D1F0E"/>
    <w:rsid w:val="001D2474"/>
    <w:rsid w:val="001D2553"/>
    <w:rsid w:val="001D27EE"/>
    <w:rsid w:val="001D2879"/>
    <w:rsid w:val="001D2B8B"/>
    <w:rsid w:val="001D2BA2"/>
    <w:rsid w:val="001D42A5"/>
    <w:rsid w:val="001D482F"/>
    <w:rsid w:val="001D4847"/>
    <w:rsid w:val="001D4D38"/>
    <w:rsid w:val="001D4D94"/>
    <w:rsid w:val="001D515E"/>
    <w:rsid w:val="001D52C2"/>
    <w:rsid w:val="001D5647"/>
    <w:rsid w:val="001D571E"/>
    <w:rsid w:val="001D5846"/>
    <w:rsid w:val="001D5A2F"/>
    <w:rsid w:val="001D6093"/>
    <w:rsid w:val="001D641C"/>
    <w:rsid w:val="001D64D2"/>
    <w:rsid w:val="001D68C5"/>
    <w:rsid w:val="001D6B9E"/>
    <w:rsid w:val="001D6DAF"/>
    <w:rsid w:val="001D6E30"/>
    <w:rsid w:val="001D6EB3"/>
    <w:rsid w:val="001D705B"/>
    <w:rsid w:val="001D70EC"/>
    <w:rsid w:val="001D713E"/>
    <w:rsid w:val="001D71FA"/>
    <w:rsid w:val="001D741A"/>
    <w:rsid w:val="001D756B"/>
    <w:rsid w:val="001D77CC"/>
    <w:rsid w:val="001D7E35"/>
    <w:rsid w:val="001E0348"/>
    <w:rsid w:val="001E0A52"/>
    <w:rsid w:val="001E104C"/>
    <w:rsid w:val="001E1370"/>
    <w:rsid w:val="001E14C3"/>
    <w:rsid w:val="001E1B3D"/>
    <w:rsid w:val="001E1EE3"/>
    <w:rsid w:val="001E224D"/>
    <w:rsid w:val="001E2B02"/>
    <w:rsid w:val="001E34C4"/>
    <w:rsid w:val="001E34C6"/>
    <w:rsid w:val="001E34E6"/>
    <w:rsid w:val="001E3C4C"/>
    <w:rsid w:val="001E3FFD"/>
    <w:rsid w:val="001E4189"/>
    <w:rsid w:val="001E452E"/>
    <w:rsid w:val="001E4772"/>
    <w:rsid w:val="001E4A47"/>
    <w:rsid w:val="001E4AE6"/>
    <w:rsid w:val="001E4F9D"/>
    <w:rsid w:val="001E5123"/>
    <w:rsid w:val="001E5138"/>
    <w:rsid w:val="001E5143"/>
    <w:rsid w:val="001E5911"/>
    <w:rsid w:val="001E5B85"/>
    <w:rsid w:val="001E5B88"/>
    <w:rsid w:val="001E6078"/>
    <w:rsid w:val="001E662F"/>
    <w:rsid w:val="001E6B4B"/>
    <w:rsid w:val="001E6B4C"/>
    <w:rsid w:val="001E6ED8"/>
    <w:rsid w:val="001E70C9"/>
    <w:rsid w:val="001E7292"/>
    <w:rsid w:val="001E730B"/>
    <w:rsid w:val="001E7586"/>
    <w:rsid w:val="001E7A69"/>
    <w:rsid w:val="001F02F7"/>
    <w:rsid w:val="001F05BF"/>
    <w:rsid w:val="001F093B"/>
    <w:rsid w:val="001F0A31"/>
    <w:rsid w:val="001F1BAD"/>
    <w:rsid w:val="001F2138"/>
    <w:rsid w:val="001F2619"/>
    <w:rsid w:val="001F2B53"/>
    <w:rsid w:val="001F2D57"/>
    <w:rsid w:val="001F38CD"/>
    <w:rsid w:val="001F39B8"/>
    <w:rsid w:val="001F39EB"/>
    <w:rsid w:val="001F3A2A"/>
    <w:rsid w:val="001F3D2E"/>
    <w:rsid w:val="001F4012"/>
    <w:rsid w:val="001F425B"/>
    <w:rsid w:val="001F4526"/>
    <w:rsid w:val="001F49D8"/>
    <w:rsid w:val="001F4B25"/>
    <w:rsid w:val="001F4C3E"/>
    <w:rsid w:val="001F4EE8"/>
    <w:rsid w:val="001F5543"/>
    <w:rsid w:val="001F56F3"/>
    <w:rsid w:val="001F5717"/>
    <w:rsid w:val="001F5C0D"/>
    <w:rsid w:val="001F5FBA"/>
    <w:rsid w:val="001F64A0"/>
    <w:rsid w:val="001F679C"/>
    <w:rsid w:val="001F67CB"/>
    <w:rsid w:val="001F68D4"/>
    <w:rsid w:val="001F6CF9"/>
    <w:rsid w:val="001F6D59"/>
    <w:rsid w:val="001F6FFA"/>
    <w:rsid w:val="001F70BD"/>
    <w:rsid w:val="001F71BA"/>
    <w:rsid w:val="001F720E"/>
    <w:rsid w:val="001F726C"/>
    <w:rsid w:val="001F7353"/>
    <w:rsid w:val="001F78B9"/>
    <w:rsid w:val="001F797F"/>
    <w:rsid w:val="001F7A79"/>
    <w:rsid w:val="001F7CC1"/>
    <w:rsid w:val="001F7E4B"/>
    <w:rsid w:val="0020016C"/>
    <w:rsid w:val="00200913"/>
    <w:rsid w:val="00200C0F"/>
    <w:rsid w:val="00200DA0"/>
    <w:rsid w:val="0020122C"/>
    <w:rsid w:val="00201318"/>
    <w:rsid w:val="00201696"/>
    <w:rsid w:val="0020176C"/>
    <w:rsid w:val="0020178F"/>
    <w:rsid w:val="002017EE"/>
    <w:rsid w:val="00201F32"/>
    <w:rsid w:val="002020D6"/>
    <w:rsid w:val="002022A2"/>
    <w:rsid w:val="00202976"/>
    <w:rsid w:val="00202F2E"/>
    <w:rsid w:val="00203005"/>
    <w:rsid w:val="0020300D"/>
    <w:rsid w:val="00203212"/>
    <w:rsid w:val="00203376"/>
    <w:rsid w:val="0020340D"/>
    <w:rsid w:val="00203568"/>
    <w:rsid w:val="0020359F"/>
    <w:rsid w:val="0020365D"/>
    <w:rsid w:val="00203BED"/>
    <w:rsid w:val="00203C2B"/>
    <w:rsid w:val="00204149"/>
    <w:rsid w:val="0020414E"/>
    <w:rsid w:val="002046F8"/>
    <w:rsid w:val="00204EB6"/>
    <w:rsid w:val="002052B0"/>
    <w:rsid w:val="002053A0"/>
    <w:rsid w:val="00205756"/>
    <w:rsid w:val="00205A9C"/>
    <w:rsid w:val="00205AD6"/>
    <w:rsid w:val="002063FB"/>
    <w:rsid w:val="00206492"/>
    <w:rsid w:val="00206646"/>
    <w:rsid w:val="00206A7E"/>
    <w:rsid w:val="0020723C"/>
    <w:rsid w:val="0020728B"/>
    <w:rsid w:val="002072E1"/>
    <w:rsid w:val="002072FD"/>
    <w:rsid w:val="00207D06"/>
    <w:rsid w:val="00207F82"/>
    <w:rsid w:val="002100F4"/>
    <w:rsid w:val="0021016D"/>
    <w:rsid w:val="00210826"/>
    <w:rsid w:val="002108D8"/>
    <w:rsid w:val="002108EA"/>
    <w:rsid w:val="0021091E"/>
    <w:rsid w:val="00210943"/>
    <w:rsid w:val="00210B1E"/>
    <w:rsid w:val="00210E7F"/>
    <w:rsid w:val="00210F98"/>
    <w:rsid w:val="00210FCB"/>
    <w:rsid w:val="002111DB"/>
    <w:rsid w:val="0021121C"/>
    <w:rsid w:val="00211310"/>
    <w:rsid w:val="00211467"/>
    <w:rsid w:val="00211939"/>
    <w:rsid w:val="00211990"/>
    <w:rsid w:val="00211A9D"/>
    <w:rsid w:val="00211C50"/>
    <w:rsid w:val="002124E7"/>
    <w:rsid w:val="00212B10"/>
    <w:rsid w:val="00212D31"/>
    <w:rsid w:val="00212EB5"/>
    <w:rsid w:val="002130C8"/>
    <w:rsid w:val="0021376D"/>
    <w:rsid w:val="002138AA"/>
    <w:rsid w:val="002138C7"/>
    <w:rsid w:val="00213966"/>
    <w:rsid w:val="0021399B"/>
    <w:rsid w:val="002139C9"/>
    <w:rsid w:val="002139E9"/>
    <w:rsid w:val="00213C3E"/>
    <w:rsid w:val="0021423B"/>
    <w:rsid w:val="002142BF"/>
    <w:rsid w:val="0021433C"/>
    <w:rsid w:val="002150A5"/>
    <w:rsid w:val="00215855"/>
    <w:rsid w:val="0021585A"/>
    <w:rsid w:val="002158A6"/>
    <w:rsid w:val="002158BB"/>
    <w:rsid w:val="00215AA3"/>
    <w:rsid w:val="00215E6B"/>
    <w:rsid w:val="00215E94"/>
    <w:rsid w:val="00216174"/>
    <w:rsid w:val="00216288"/>
    <w:rsid w:val="00216414"/>
    <w:rsid w:val="00216740"/>
    <w:rsid w:val="002168B7"/>
    <w:rsid w:val="00216FB8"/>
    <w:rsid w:val="00217229"/>
    <w:rsid w:val="00217818"/>
    <w:rsid w:val="00217989"/>
    <w:rsid w:val="002200AD"/>
    <w:rsid w:val="0022020D"/>
    <w:rsid w:val="002204CB"/>
    <w:rsid w:val="0022055C"/>
    <w:rsid w:val="002205BC"/>
    <w:rsid w:val="00220848"/>
    <w:rsid w:val="002209F5"/>
    <w:rsid w:val="00220D56"/>
    <w:rsid w:val="00220FFA"/>
    <w:rsid w:val="00221362"/>
    <w:rsid w:val="00221502"/>
    <w:rsid w:val="00221A32"/>
    <w:rsid w:val="00221C9E"/>
    <w:rsid w:val="00222039"/>
    <w:rsid w:val="002220E2"/>
    <w:rsid w:val="00222323"/>
    <w:rsid w:val="00222734"/>
    <w:rsid w:val="0022286C"/>
    <w:rsid w:val="002228E1"/>
    <w:rsid w:val="00222C97"/>
    <w:rsid w:val="002231DD"/>
    <w:rsid w:val="002231F9"/>
    <w:rsid w:val="00223556"/>
    <w:rsid w:val="00223603"/>
    <w:rsid w:val="002237D7"/>
    <w:rsid w:val="002237F9"/>
    <w:rsid w:val="00223DB4"/>
    <w:rsid w:val="00223DBA"/>
    <w:rsid w:val="00223DD4"/>
    <w:rsid w:val="0022407F"/>
    <w:rsid w:val="002240B9"/>
    <w:rsid w:val="0022482D"/>
    <w:rsid w:val="00224CD8"/>
    <w:rsid w:val="002252F2"/>
    <w:rsid w:val="00225367"/>
    <w:rsid w:val="00225708"/>
    <w:rsid w:val="00225BAE"/>
    <w:rsid w:val="00225CEF"/>
    <w:rsid w:val="00225D4E"/>
    <w:rsid w:val="00225DF8"/>
    <w:rsid w:val="002263A3"/>
    <w:rsid w:val="002268A7"/>
    <w:rsid w:val="002268EA"/>
    <w:rsid w:val="00226953"/>
    <w:rsid w:val="00226BAF"/>
    <w:rsid w:val="00226DEE"/>
    <w:rsid w:val="00226E31"/>
    <w:rsid w:val="00227151"/>
    <w:rsid w:val="0022798C"/>
    <w:rsid w:val="00227D4E"/>
    <w:rsid w:val="00227D70"/>
    <w:rsid w:val="00227EE8"/>
    <w:rsid w:val="00227F1E"/>
    <w:rsid w:val="00227F80"/>
    <w:rsid w:val="0023014A"/>
    <w:rsid w:val="00230711"/>
    <w:rsid w:val="002307CC"/>
    <w:rsid w:val="00230933"/>
    <w:rsid w:val="002309FC"/>
    <w:rsid w:val="00230C86"/>
    <w:rsid w:val="00230CEA"/>
    <w:rsid w:val="00230DE3"/>
    <w:rsid w:val="00230E6D"/>
    <w:rsid w:val="00230FB8"/>
    <w:rsid w:val="002319E2"/>
    <w:rsid w:val="00231C6B"/>
    <w:rsid w:val="00232060"/>
    <w:rsid w:val="00232122"/>
    <w:rsid w:val="002328C4"/>
    <w:rsid w:val="0023292B"/>
    <w:rsid w:val="00232ADA"/>
    <w:rsid w:val="00232BB7"/>
    <w:rsid w:val="00232D41"/>
    <w:rsid w:val="00232E89"/>
    <w:rsid w:val="00233053"/>
    <w:rsid w:val="002330A3"/>
    <w:rsid w:val="00233290"/>
    <w:rsid w:val="0023344F"/>
    <w:rsid w:val="00233495"/>
    <w:rsid w:val="002336A3"/>
    <w:rsid w:val="002337E4"/>
    <w:rsid w:val="00233A0D"/>
    <w:rsid w:val="00233BE3"/>
    <w:rsid w:val="00233E23"/>
    <w:rsid w:val="00233F72"/>
    <w:rsid w:val="00234673"/>
    <w:rsid w:val="0023497E"/>
    <w:rsid w:val="002349C7"/>
    <w:rsid w:val="00234D06"/>
    <w:rsid w:val="00234DB9"/>
    <w:rsid w:val="00234DBE"/>
    <w:rsid w:val="00234FFD"/>
    <w:rsid w:val="002351DD"/>
    <w:rsid w:val="002352B8"/>
    <w:rsid w:val="002356C8"/>
    <w:rsid w:val="00236029"/>
    <w:rsid w:val="002360C8"/>
    <w:rsid w:val="002362E1"/>
    <w:rsid w:val="0023656B"/>
    <w:rsid w:val="00236655"/>
    <w:rsid w:val="00236675"/>
    <w:rsid w:val="00236AFF"/>
    <w:rsid w:val="00236B2A"/>
    <w:rsid w:val="00236B81"/>
    <w:rsid w:val="00236EC4"/>
    <w:rsid w:val="002374ED"/>
    <w:rsid w:val="002376AF"/>
    <w:rsid w:val="00237A32"/>
    <w:rsid w:val="00237D13"/>
    <w:rsid w:val="00237E55"/>
    <w:rsid w:val="00240099"/>
    <w:rsid w:val="00240971"/>
    <w:rsid w:val="00240B64"/>
    <w:rsid w:val="00241291"/>
    <w:rsid w:val="0024130B"/>
    <w:rsid w:val="002413F9"/>
    <w:rsid w:val="002416BE"/>
    <w:rsid w:val="00241783"/>
    <w:rsid w:val="00241904"/>
    <w:rsid w:val="00241F4D"/>
    <w:rsid w:val="00241FEC"/>
    <w:rsid w:val="00241FEF"/>
    <w:rsid w:val="00242689"/>
    <w:rsid w:val="0024270D"/>
    <w:rsid w:val="0024290E"/>
    <w:rsid w:val="00242A90"/>
    <w:rsid w:val="00242FB3"/>
    <w:rsid w:val="00243051"/>
    <w:rsid w:val="002432A2"/>
    <w:rsid w:val="002434BA"/>
    <w:rsid w:val="002435C9"/>
    <w:rsid w:val="002435CC"/>
    <w:rsid w:val="002435D8"/>
    <w:rsid w:val="00243B74"/>
    <w:rsid w:val="00243CF1"/>
    <w:rsid w:val="00243E70"/>
    <w:rsid w:val="00243EDF"/>
    <w:rsid w:val="002440CF"/>
    <w:rsid w:val="002446AA"/>
    <w:rsid w:val="00244703"/>
    <w:rsid w:val="00244784"/>
    <w:rsid w:val="0024485B"/>
    <w:rsid w:val="00244D28"/>
    <w:rsid w:val="00244E95"/>
    <w:rsid w:val="00244EE9"/>
    <w:rsid w:val="00245184"/>
    <w:rsid w:val="002451B3"/>
    <w:rsid w:val="002452C7"/>
    <w:rsid w:val="002453BB"/>
    <w:rsid w:val="002454EA"/>
    <w:rsid w:val="002455D4"/>
    <w:rsid w:val="00245B57"/>
    <w:rsid w:val="00245C00"/>
    <w:rsid w:val="002460C8"/>
    <w:rsid w:val="00246637"/>
    <w:rsid w:val="00246672"/>
    <w:rsid w:val="00246995"/>
    <w:rsid w:val="00246C9C"/>
    <w:rsid w:val="00246EFD"/>
    <w:rsid w:val="0024730F"/>
    <w:rsid w:val="002474B3"/>
    <w:rsid w:val="002477FD"/>
    <w:rsid w:val="0024791C"/>
    <w:rsid w:val="00247DA2"/>
    <w:rsid w:val="00247E6B"/>
    <w:rsid w:val="002502D6"/>
    <w:rsid w:val="0025032E"/>
    <w:rsid w:val="0025064A"/>
    <w:rsid w:val="00250725"/>
    <w:rsid w:val="00250CC4"/>
    <w:rsid w:val="00250CD3"/>
    <w:rsid w:val="00250EBF"/>
    <w:rsid w:val="00250FA5"/>
    <w:rsid w:val="00251149"/>
    <w:rsid w:val="00251249"/>
    <w:rsid w:val="002514AD"/>
    <w:rsid w:val="00251D21"/>
    <w:rsid w:val="002520E8"/>
    <w:rsid w:val="0025237F"/>
    <w:rsid w:val="00252439"/>
    <w:rsid w:val="00252609"/>
    <w:rsid w:val="002527EF"/>
    <w:rsid w:val="00252955"/>
    <w:rsid w:val="00252C24"/>
    <w:rsid w:val="00252CAD"/>
    <w:rsid w:val="00252E2B"/>
    <w:rsid w:val="00252E94"/>
    <w:rsid w:val="002531DB"/>
    <w:rsid w:val="002532AB"/>
    <w:rsid w:val="002537F2"/>
    <w:rsid w:val="00253DD8"/>
    <w:rsid w:val="0025412C"/>
    <w:rsid w:val="002542E9"/>
    <w:rsid w:val="00254462"/>
    <w:rsid w:val="00254575"/>
    <w:rsid w:val="0025498A"/>
    <w:rsid w:val="00254AE1"/>
    <w:rsid w:val="00254FDB"/>
    <w:rsid w:val="00255157"/>
    <w:rsid w:val="002552BE"/>
    <w:rsid w:val="00255E8F"/>
    <w:rsid w:val="00255FA4"/>
    <w:rsid w:val="00256075"/>
    <w:rsid w:val="00256683"/>
    <w:rsid w:val="00256817"/>
    <w:rsid w:val="00256BD9"/>
    <w:rsid w:val="00256CC4"/>
    <w:rsid w:val="00256D85"/>
    <w:rsid w:val="002574E0"/>
    <w:rsid w:val="00257E55"/>
    <w:rsid w:val="00260018"/>
    <w:rsid w:val="0026008D"/>
    <w:rsid w:val="002600F3"/>
    <w:rsid w:val="002601CC"/>
    <w:rsid w:val="0026040D"/>
    <w:rsid w:val="00260617"/>
    <w:rsid w:val="0026075D"/>
    <w:rsid w:val="00260B42"/>
    <w:rsid w:val="00260CEE"/>
    <w:rsid w:val="00260D67"/>
    <w:rsid w:val="00260EF0"/>
    <w:rsid w:val="0026102F"/>
    <w:rsid w:val="002611C9"/>
    <w:rsid w:val="002612A0"/>
    <w:rsid w:val="002614D8"/>
    <w:rsid w:val="0026176C"/>
    <w:rsid w:val="00262013"/>
    <w:rsid w:val="002620C5"/>
    <w:rsid w:val="0026270D"/>
    <w:rsid w:val="00262D02"/>
    <w:rsid w:val="00262E56"/>
    <w:rsid w:val="00263047"/>
    <w:rsid w:val="00263077"/>
    <w:rsid w:val="00263140"/>
    <w:rsid w:val="0026383E"/>
    <w:rsid w:val="00263870"/>
    <w:rsid w:val="00263878"/>
    <w:rsid w:val="00263885"/>
    <w:rsid w:val="00263B5B"/>
    <w:rsid w:val="00263FCA"/>
    <w:rsid w:val="0026413C"/>
    <w:rsid w:val="002642EA"/>
    <w:rsid w:val="00264317"/>
    <w:rsid w:val="00264697"/>
    <w:rsid w:val="002648DC"/>
    <w:rsid w:val="00264FDA"/>
    <w:rsid w:val="00265485"/>
    <w:rsid w:val="002655BC"/>
    <w:rsid w:val="0026562B"/>
    <w:rsid w:val="00265642"/>
    <w:rsid w:val="00265FC2"/>
    <w:rsid w:val="00266015"/>
    <w:rsid w:val="00266221"/>
    <w:rsid w:val="0026623A"/>
    <w:rsid w:val="00266252"/>
    <w:rsid w:val="0026649B"/>
    <w:rsid w:val="002664A2"/>
    <w:rsid w:val="0026695E"/>
    <w:rsid w:val="00266BDE"/>
    <w:rsid w:val="00266C1F"/>
    <w:rsid w:val="0026705D"/>
    <w:rsid w:val="002670FE"/>
    <w:rsid w:val="002672A3"/>
    <w:rsid w:val="00270046"/>
    <w:rsid w:val="002700C8"/>
    <w:rsid w:val="002701C8"/>
    <w:rsid w:val="00270466"/>
    <w:rsid w:val="002704AF"/>
    <w:rsid w:val="00270591"/>
    <w:rsid w:val="002707E0"/>
    <w:rsid w:val="00270808"/>
    <w:rsid w:val="002708AA"/>
    <w:rsid w:val="00270984"/>
    <w:rsid w:val="00270E45"/>
    <w:rsid w:val="00271096"/>
    <w:rsid w:val="002710CB"/>
    <w:rsid w:val="002717B5"/>
    <w:rsid w:val="00271869"/>
    <w:rsid w:val="00271A97"/>
    <w:rsid w:val="00271B0A"/>
    <w:rsid w:val="00271EA1"/>
    <w:rsid w:val="00271F7E"/>
    <w:rsid w:val="002723BC"/>
    <w:rsid w:val="002724B1"/>
    <w:rsid w:val="00273061"/>
    <w:rsid w:val="002731A1"/>
    <w:rsid w:val="00273264"/>
    <w:rsid w:val="002734F8"/>
    <w:rsid w:val="0027383D"/>
    <w:rsid w:val="00273889"/>
    <w:rsid w:val="00273B4D"/>
    <w:rsid w:val="00274172"/>
    <w:rsid w:val="002748C5"/>
    <w:rsid w:val="002749AE"/>
    <w:rsid w:val="00274E60"/>
    <w:rsid w:val="002750DF"/>
    <w:rsid w:val="0027517F"/>
    <w:rsid w:val="002753B7"/>
    <w:rsid w:val="002754D0"/>
    <w:rsid w:val="0027553D"/>
    <w:rsid w:val="00275D68"/>
    <w:rsid w:val="00275D8C"/>
    <w:rsid w:val="00275DE7"/>
    <w:rsid w:val="00276574"/>
    <w:rsid w:val="00276612"/>
    <w:rsid w:val="00276649"/>
    <w:rsid w:val="002766D8"/>
    <w:rsid w:val="00276837"/>
    <w:rsid w:val="0027683B"/>
    <w:rsid w:val="002768D7"/>
    <w:rsid w:val="002769FB"/>
    <w:rsid w:val="00276DD5"/>
    <w:rsid w:val="00276E4F"/>
    <w:rsid w:val="0027702D"/>
    <w:rsid w:val="002779CB"/>
    <w:rsid w:val="00277A05"/>
    <w:rsid w:val="00277D03"/>
    <w:rsid w:val="00277DE2"/>
    <w:rsid w:val="002801E6"/>
    <w:rsid w:val="00280768"/>
    <w:rsid w:val="00280EC0"/>
    <w:rsid w:val="002812A8"/>
    <w:rsid w:val="002815E8"/>
    <w:rsid w:val="00281844"/>
    <w:rsid w:val="00281AF1"/>
    <w:rsid w:val="00281CA3"/>
    <w:rsid w:val="0028229D"/>
    <w:rsid w:val="00282304"/>
    <w:rsid w:val="0028241E"/>
    <w:rsid w:val="00282A13"/>
    <w:rsid w:val="00282ABF"/>
    <w:rsid w:val="00282D1A"/>
    <w:rsid w:val="0028301F"/>
    <w:rsid w:val="002832BA"/>
    <w:rsid w:val="002832E9"/>
    <w:rsid w:val="00283907"/>
    <w:rsid w:val="00283C02"/>
    <w:rsid w:val="002840B5"/>
    <w:rsid w:val="002842C5"/>
    <w:rsid w:val="00284439"/>
    <w:rsid w:val="00284456"/>
    <w:rsid w:val="002849A3"/>
    <w:rsid w:val="00284AE7"/>
    <w:rsid w:val="00284B9B"/>
    <w:rsid w:val="00284E29"/>
    <w:rsid w:val="002851B4"/>
    <w:rsid w:val="00285216"/>
    <w:rsid w:val="002858FF"/>
    <w:rsid w:val="00285922"/>
    <w:rsid w:val="00285A81"/>
    <w:rsid w:val="00285AD4"/>
    <w:rsid w:val="00285D41"/>
    <w:rsid w:val="00285D9C"/>
    <w:rsid w:val="00285DD6"/>
    <w:rsid w:val="00285FC2"/>
    <w:rsid w:val="00286062"/>
    <w:rsid w:val="002864A9"/>
    <w:rsid w:val="002867AA"/>
    <w:rsid w:val="00286A35"/>
    <w:rsid w:val="00286BAC"/>
    <w:rsid w:val="00286DAD"/>
    <w:rsid w:val="00286EFF"/>
    <w:rsid w:val="002872AD"/>
    <w:rsid w:val="0028733F"/>
    <w:rsid w:val="002875FB"/>
    <w:rsid w:val="00287658"/>
    <w:rsid w:val="002878F2"/>
    <w:rsid w:val="002878F7"/>
    <w:rsid w:val="00287F7C"/>
    <w:rsid w:val="0029006B"/>
    <w:rsid w:val="002907C8"/>
    <w:rsid w:val="00290919"/>
    <w:rsid w:val="00290CD4"/>
    <w:rsid w:val="00290D2F"/>
    <w:rsid w:val="0029125C"/>
    <w:rsid w:val="002915D4"/>
    <w:rsid w:val="00291773"/>
    <w:rsid w:val="00291931"/>
    <w:rsid w:val="00291A6A"/>
    <w:rsid w:val="00291D64"/>
    <w:rsid w:val="00291D93"/>
    <w:rsid w:val="0029225A"/>
    <w:rsid w:val="0029262F"/>
    <w:rsid w:val="00292648"/>
    <w:rsid w:val="00292753"/>
    <w:rsid w:val="00292974"/>
    <w:rsid w:val="00292A05"/>
    <w:rsid w:val="00292CFA"/>
    <w:rsid w:val="00292D8F"/>
    <w:rsid w:val="00292E06"/>
    <w:rsid w:val="0029300F"/>
    <w:rsid w:val="0029318B"/>
    <w:rsid w:val="0029348C"/>
    <w:rsid w:val="002937DC"/>
    <w:rsid w:val="0029382A"/>
    <w:rsid w:val="00293AEB"/>
    <w:rsid w:val="00293D08"/>
    <w:rsid w:val="00293F84"/>
    <w:rsid w:val="00293FB7"/>
    <w:rsid w:val="00294046"/>
    <w:rsid w:val="002940C3"/>
    <w:rsid w:val="00294136"/>
    <w:rsid w:val="00294A44"/>
    <w:rsid w:val="00294E4C"/>
    <w:rsid w:val="0029510C"/>
    <w:rsid w:val="00295493"/>
    <w:rsid w:val="00295D12"/>
    <w:rsid w:val="002960D0"/>
    <w:rsid w:val="00296EEF"/>
    <w:rsid w:val="0029727E"/>
    <w:rsid w:val="002972AF"/>
    <w:rsid w:val="00297602"/>
    <w:rsid w:val="0029770C"/>
    <w:rsid w:val="002977D8"/>
    <w:rsid w:val="002979FC"/>
    <w:rsid w:val="00297C7A"/>
    <w:rsid w:val="00297DFD"/>
    <w:rsid w:val="00297E58"/>
    <w:rsid w:val="00297F5B"/>
    <w:rsid w:val="002A0087"/>
    <w:rsid w:val="002A0281"/>
    <w:rsid w:val="002A076B"/>
    <w:rsid w:val="002A0801"/>
    <w:rsid w:val="002A0F71"/>
    <w:rsid w:val="002A110F"/>
    <w:rsid w:val="002A1212"/>
    <w:rsid w:val="002A132E"/>
    <w:rsid w:val="002A1722"/>
    <w:rsid w:val="002A1ABC"/>
    <w:rsid w:val="002A2279"/>
    <w:rsid w:val="002A22F2"/>
    <w:rsid w:val="002A23E3"/>
    <w:rsid w:val="002A24C2"/>
    <w:rsid w:val="002A256F"/>
    <w:rsid w:val="002A2810"/>
    <w:rsid w:val="002A2869"/>
    <w:rsid w:val="002A2CB1"/>
    <w:rsid w:val="002A2D98"/>
    <w:rsid w:val="002A348E"/>
    <w:rsid w:val="002A34F3"/>
    <w:rsid w:val="002A3613"/>
    <w:rsid w:val="002A3A38"/>
    <w:rsid w:val="002A3BE2"/>
    <w:rsid w:val="002A3C21"/>
    <w:rsid w:val="002A3D1D"/>
    <w:rsid w:val="002A401F"/>
    <w:rsid w:val="002A415F"/>
    <w:rsid w:val="002A4879"/>
    <w:rsid w:val="002A4D37"/>
    <w:rsid w:val="002A5123"/>
    <w:rsid w:val="002A5387"/>
    <w:rsid w:val="002A544B"/>
    <w:rsid w:val="002A55EA"/>
    <w:rsid w:val="002A5911"/>
    <w:rsid w:val="002A5DCB"/>
    <w:rsid w:val="002A5EF0"/>
    <w:rsid w:val="002A5F1E"/>
    <w:rsid w:val="002A6216"/>
    <w:rsid w:val="002A6395"/>
    <w:rsid w:val="002A65C3"/>
    <w:rsid w:val="002A6B0A"/>
    <w:rsid w:val="002A6BB1"/>
    <w:rsid w:val="002A6C10"/>
    <w:rsid w:val="002A6CAC"/>
    <w:rsid w:val="002A6E7B"/>
    <w:rsid w:val="002A7033"/>
    <w:rsid w:val="002A710C"/>
    <w:rsid w:val="002A7402"/>
    <w:rsid w:val="002A751A"/>
    <w:rsid w:val="002A79F6"/>
    <w:rsid w:val="002A7B65"/>
    <w:rsid w:val="002A7D2B"/>
    <w:rsid w:val="002B05DF"/>
    <w:rsid w:val="002B099F"/>
    <w:rsid w:val="002B10AE"/>
    <w:rsid w:val="002B1307"/>
    <w:rsid w:val="002B1535"/>
    <w:rsid w:val="002B177F"/>
    <w:rsid w:val="002B1D9E"/>
    <w:rsid w:val="002B1DED"/>
    <w:rsid w:val="002B1E85"/>
    <w:rsid w:val="002B27DA"/>
    <w:rsid w:val="002B2A43"/>
    <w:rsid w:val="002B2D10"/>
    <w:rsid w:val="002B2DA3"/>
    <w:rsid w:val="002B3208"/>
    <w:rsid w:val="002B3262"/>
    <w:rsid w:val="002B32AF"/>
    <w:rsid w:val="002B33C7"/>
    <w:rsid w:val="002B38B4"/>
    <w:rsid w:val="002B3C84"/>
    <w:rsid w:val="002B3EAD"/>
    <w:rsid w:val="002B437E"/>
    <w:rsid w:val="002B4638"/>
    <w:rsid w:val="002B4758"/>
    <w:rsid w:val="002B4970"/>
    <w:rsid w:val="002B4A32"/>
    <w:rsid w:val="002B4B92"/>
    <w:rsid w:val="002B4E01"/>
    <w:rsid w:val="002B539C"/>
    <w:rsid w:val="002B53A2"/>
    <w:rsid w:val="002B5568"/>
    <w:rsid w:val="002B5675"/>
    <w:rsid w:val="002B587B"/>
    <w:rsid w:val="002B59B6"/>
    <w:rsid w:val="002B5C1A"/>
    <w:rsid w:val="002B5E2B"/>
    <w:rsid w:val="002B5F42"/>
    <w:rsid w:val="002B61A5"/>
    <w:rsid w:val="002B6497"/>
    <w:rsid w:val="002B64A1"/>
    <w:rsid w:val="002B670D"/>
    <w:rsid w:val="002B6A10"/>
    <w:rsid w:val="002B6A85"/>
    <w:rsid w:val="002B6C1A"/>
    <w:rsid w:val="002B6C2D"/>
    <w:rsid w:val="002B71AC"/>
    <w:rsid w:val="002B7221"/>
    <w:rsid w:val="002B763F"/>
    <w:rsid w:val="002B77FA"/>
    <w:rsid w:val="002B7B20"/>
    <w:rsid w:val="002B7DDE"/>
    <w:rsid w:val="002B7EE6"/>
    <w:rsid w:val="002B7F68"/>
    <w:rsid w:val="002C0248"/>
    <w:rsid w:val="002C02A2"/>
    <w:rsid w:val="002C0619"/>
    <w:rsid w:val="002C08F9"/>
    <w:rsid w:val="002C0F92"/>
    <w:rsid w:val="002C22D1"/>
    <w:rsid w:val="002C2388"/>
    <w:rsid w:val="002C2749"/>
    <w:rsid w:val="002C27F5"/>
    <w:rsid w:val="002C29B4"/>
    <w:rsid w:val="002C2B63"/>
    <w:rsid w:val="002C2C33"/>
    <w:rsid w:val="002C2C5A"/>
    <w:rsid w:val="002C2F10"/>
    <w:rsid w:val="002C3072"/>
    <w:rsid w:val="002C34BC"/>
    <w:rsid w:val="002C34DA"/>
    <w:rsid w:val="002C3560"/>
    <w:rsid w:val="002C398A"/>
    <w:rsid w:val="002C3FE1"/>
    <w:rsid w:val="002C4014"/>
    <w:rsid w:val="002C40BF"/>
    <w:rsid w:val="002C46F8"/>
    <w:rsid w:val="002C4876"/>
    <w:rsid w:val="002C4899"/>
    <w:rsid w:val="002C4CC7"/>
    <w:rsid w:val="002C52AE"/>
    <w:rsid w:val="002C55CD"/>
    <w:rsid w:val="002C6144"/>
    <w:rsid w:val="002C6483"/>
    <w:rsid w:val="002C6604"/>
    <w:rsid w:val="002C71F5"/>
    <w:rsid w:val="002C7484"/>
    <w:rsid w:val="002C74D8"/>
    <w:rsid w:val="002C7849"/>
    <w:rsid w:val="002D0268"/>
    <w:rsid w:val="002D031C"/>
    <w:rsid w:val="002D039D"/>
    <w:rsid w:val="002D04E5"/>
    <w:rsid w:val="002D0705"/>
    <w:rsid w:val="002D073F"/>
    <w:rsid w:val="002D0D50"/>
    <w:rsid w:val="002D0E56"/>
    <w:rsid w:val="002D12B4"/>
    <w:rsid w:val="002D131F"/>
    <w:rsid w:val="002D1792"/>
    <w:rsid w:val="002D1FE3"/>
    <w:rsid w:val="002D2292"/>
    <w:rsid w:val="002D23B5"/>
    <w:rsid w:val="002D24F2"/>
    <w:rsid w:val="002D2560"/>
    <w:rsid w:val="002D2628"/>
    <w:rsid w:val="002D28EB"/>
    <w:rsid w:val="002D28FD"/>
    <w:rsid w:val="002D2985"/>
    <w:rsid w:val="002D29A9"/>
    <w:rsid w:val="002D2A92"/>
    <w:rsid w:val="002D2CCE"/>
    <w:rsid w:val="002D2D3F"/>
    <w:rsid w:val="002D2E4D"/>
    <w:rsid w:val="002D3151"/>
    <w:rsid w:val="002D31BF"/>
    <w:rsid w:val="002D355E"/>
    <w:rsid w:val="002D362B"/>
    <w:rsid w:val="002D36E4"/>
    <w:rsid w:val="002D3795"/>
    <w:rsid w:val="002D3959"/>
    <w:rsid w:val="002D3A1F"/>
    <w:rsid w:val="002D40C8"/>
    <w:rsid w:val="002D4420"/>
    <w:rsid w:val="002D442B"/>
    <w:rsid w:val="002D45FB"/>
    <w:rsid w:val="002D4C85"/>
    <w:rsid w:val="002D5064"/>
    <w:rsid w:val="002D522F"/>
    <w:rsid w:val="002D5654"/>
    <w:rsid w:val="002D572F"/>
    <w:rsid w:val="002D5995"/>
    <w:rsid w:val="002D5BE8"/>
    <w:rsid w:val="002D5C93"/>
    <w:rsid w:val="002D64D8"/>
    <w:rsid w:val="002D6B84"/>
    <w:rsid w:val="002D6E72"/>
    <w:rsid w:val="002D726A"/>
    <w:rsid w:val="002D73A7"/>
    <w:rsid w:val="002D776B"/>
    <w:rsid w:val="002D779C"/>
    <w:rsid w:val="002D7B6C"/>
    <w:rsid w:val="002D7CEC"/>
    <w:rsid w:val="002D7D20"/>
    <w:rsid w:val="002D7EE3"/>
    <w:rsid w:val="002D7F49"/>
    <w:rsid w:val="002D7FF4"/>
    <w:rsid w:val="002D7FF7"/>
    <w:rsid w:val="002E0612"/>
    <w:rsid w:val="002E08A1"/>
    <w:rsid w:val="002E08D5"/>
    <w:rsid w:val="002E1AF2"/>
    <w:rsid w:val="002E244E"/>
    <w:rsid w:val="002E2453"/>
    <w:rsid w:val="002E27FF"/>
    <w:rsid w:val="002E299D"/>
    <w:rsid w:val="002E2C44"/>
    <w:rsid w:val="002E2ED4"/>
    <w:rsid w:val="002E2F79"/>
    <w:rsid w:val="002E3040"/>
    <w:rsid w:val="002E3063"/>
    <w:rsid w:val="002E308C"/>
    <w:rsid w:val="002E3285"/>
    <w:rsid w:val="002E364B"/>
    <w:rsid w:val="002E376F"/>
    <w:rsid w:val="002E434C"/>
    <w:rsid w:val="002E4857"/>
    <w:rsid w:val="002E49E4"/>
    <w:rsid w:val="002E51AF"/>
    <w:rsid w:val="002E5765"/>
    <w:rsid w:val="002E57DA"/>
    <w:rsid w:val="002E5918"/>
    <w:rsid w:val="002E5A1B"/>
    <w:rsid w:val="002E5B46"/>
    <w:rsid w:val="002E5DBD"/>
    <w:rsid w:val="002E60A1"/>
    <w:rsid w:val="002E6179"/>
    <w:rsid w:val="002E64B6"/>
    <w:rsid w:val="002E65D6"/>
    <w:rsid w:val="002E6990"/>
    <w:rsid w:val="002E6A14"/>
    <w:rsid w:val="002E6DD5"/>
    <w:rsid w:val="002E6F32"/>
    <w:rsid w:val="002E7248"/>
    <w:rsid w:val="002E73C0"/>
    <w:rsid w:val="002E7436"/>
    <w:rsid w:val="002E74CB"/>
    <w:rsid w:val="002E7777"/>
    <w:rsid w:val="002E778B"/>
    <w:rsid w:val="002E7815"/>
    <w:rsid w:val="002E7C0E"/>
    <w:rsid w:val="002E7D6F"/>
    <w:rsid w:val="002F00C0"/>
    <w:rsid w:val="002F0146"/>
    <w:rsid w:val="002F0259"/>
    <w:rsid w:val="002F0495"/>
    <w:rsid w:val="002F060A"/>
    <w:rsid w:val="002F0A54"/>
    <w:rsid w:val="002F0BFE"/>
    <w:rsid w:val="002F0FF9"/>
    <w:rsid w:val="002F1039"/>
    <w:rsid w:val="002F13A8"/>
    <w:rsid w:val="002F1472"/>
    <w:rsid w:val="002F1500"/>
    <w:rsid w:val="002F15ED"/>
    <w:rsid w:val="002F165F"/>
    <w:rsid w:val="002F169D"/>
    <w:rsid w:val="002F172F"/>
    <w:rsid w:val="002F1975"/>
    <w:rsid w:val="002F2017"/>
    <w:rsid w:val="002F2176"/>
    <w:rsid w:val="002F2290"/>
    <w:rsid w:val="002F24E4"/>
    <w:rsid w:val="002F26F4"/>
    <w:rsid w:val="002F280A"/>
    <w:rsid w:val="002F28C8"/>
    <w:rsid w:val="002F2B9E"/>
    <w:rsid w:val="002F2BCD"/>
    <w:rsid w:val="002F2C42"/>
    <w:rsid w:val="002F2EF0"/>
    <w:rsid w:val="002F310D"/>
    <w:rsid w:val="002F3285"/>
    <w:rsid w:val="002F35CB"/>
    <w:rsid w:val="002F37F7"/>
    <w:rsid w:val="002F3877"/>
    <w:rsid w:val="002F3892"/>
    <w:rsid w:val="002F38D1"/>
    <w:rsid w:val="002F39BE"/>
    <w:rsid w:val="002F3A73"/>
    <w:rsid w:val="002F3AC0"/>
    <w:rsid w:val="002F3BBD"/>
    <w:rsid w:val="002F3BC4"/>
    <w:rsid w:val="002F3C39"/>
    <w:rsid w:val="002F3CD0"/>
    <w:rsid w:val="002F3D37"/>
    <w:rsid w:val="002F3DE2"/>
    <w:rsid w:val="002F496D"/>
    <w:rsid w:val="002F4ADE"/>
    <w:rsid w:val="002F4DE0"/>
    <w:rsid w:val="002F4E14"/>
    <w:rsid w:val="002F4ED0"/>
    <w:rsid w:val="002F50C3"/>
    <w:rsid w:val="002F511A"/>
    <w:rsid w:val="002F514A"/>
    <w:rsid w:val="002F5571"/>
    <w:rsid w:val="002F5652"/>
    <w:rsid w:val="002F566E"/>
    <w:rsid w:val="002F5726"/>
    <w:rsid w:val="002F58E3"/>
    <w:rsid w:val="002F62C7"/>
    <w:rsid w:val="002F66A5"/>
    <w:rsid w:val="002F7038"/>
    <w:rsid w:val="002F73E9"/>
    <w:rsid w:val="002F7594"/>
    <w:rsid w:val="002F79FE"/>
    <w:rsid w:val="003008BC"/>
    <w:rsid w:val="00300A9C"/>
    <w:rsid w:val="00300C12"/>
    <w:rsid w:val="00300D3D"/>
    <w:rsid w:val="00300E20"/>
    <w:rsid w:val="0030118D"/>
    <w:rsid w:val="00301740"/>
    <w:rsid w:val="00301806"/>
    <w:rsid w:val="00301CBD"/>
    <w:rsid w:val="0030285A"/>
    <w:rsid w:val="003029A5"/>
    <w:rsid w:val="00302CFE"/>
    <w:rsid w:val="00302D2F"/>
    <w:rsid w:val="00302D3B"/>
    <w:rsid w:val="003033DE"/>
    <w:rsid w:val="003034F2"/>
    <w:rsid w:val="00303553"/>
    <w:rsid w:val="003037A1"/>
    <w:rsid w:val="0030385D"/>
    <w:rsid w:val="00303B8A"/>
    <w:rsid w:val="00303C39"/>
    <w:rsid w:val="00303C93"/>
    <w:rsid w:val="00304051"/>
    <w:rsid w:val="003042B3"/>
    <w:rsid w:val="0030430C"/>
    <w:rsid w:val="00304875"/>
    <w:rsid w:val="00304989"/>
    <w:rsid w:val="00304E0E"/>
    <w:rsid w:val="0030518A"/>
    <w:rsid w:val="003056C5"/>
    <w:rsid w:val="003058D1"/>
    <w:rsid w:val="0030591D"/>
    <w:rsid w:val="00305B73"/>
    <w:rsid w:val="00305D85"/>
    <w:rsid w:val="003062F3"/>
    <w:rsid w:val="00306500"/>
    <w:rsid w:val="00306A18"/>
    <w:rsid w:val="00306D96"/>
    <w:rsid w:val="00306FFC"/>
    <w:rsid w:val="00307159"/>
    <w:rsid w:val="00307B40"/>
    <w:rsid w:val="00307C02"/>
    <w:rsid w:val="00307D26"/>
    <w:rsid w:val="00307DB0"/>
    <w:rsid w:val="00307E4B"/>
    <w:rsid w:val="0031061E"/>
    <w:rsid w:val="003106C2"/>
    <w:rsid w:val="00310948"/>
    <w:rsid w:val="00310995"/>
    <w:rsid w:val="003109BA"/>
    <w:rsid w:val="00310AB6"/>
    <w:rsid w:val="00310BED"/>
    <w:rsid w:val="00310D5D"/>
    <w:rsid w:val="0031191C"/>
    <w:rsid w:val="00311D61"/>
    <w:rsid w:val="00311F54"/>
    <w:rsid w:val="00311F86"/>
    <w:rsid w:val="003121B3"/>
    <w:rsid w:val="00312326"/>
    <w:rsid w:val="00312544"/>
    <w:rsid w:val="00312783"/>
    <w:rsid w:val="003128FC"/>
    <w:rsid w:val="003129FA"/>
    <w:rsid w:val="0031306F"/>
    <w:rsid w:val="00313409"/>
    <w:rsid w:val="003135DC"/>
    <w:rsid w:val="003135FE"/>
    <w:rsid w:val="003138D4"/>
    <w:rsid w:val="00313953"/>
    <w:rsid w:val="00314254"/>
    <w:rsid w:val="00314390"/>
    <w:rsid w:val="00314AF2"/>
    <w:rsid w:val="00314D0F"/>
    <w:rsid w:val="00314D7A"/>
    <w:rsid w:val="00314F23"/>
    <w:rsid w:val="00314F53"/>
    <w:rsid w:val="003150BE"/>
    <w:rsid w:val="003151FB"/>
    <w:rsid w:val="00315750"/>
    <w:rsid w:val="0031584E"/>
    <w:rsid w:val="00315978"/>
    <w:rsid w:val="00315CF9"/>
    <w:rsid w:val="00315DBB"/>
    <w:rsid w:val="003162FC"/>
    <w:rsid w:val="00316627"/>
    <w:rsid w:val="003166A3"/>
    <w:rsid w:val="003166D5"/>
    <w:rsid w:val="0031689C"/>
    <w:rsid w:val="003169BF"/>
    <w:rsid w:val="00316B29"/>
    <w:rsid w:val="00316B99"/>
    <w:rsid w:val="00316F32"/>
    <w:rsid w:val="00316FE9"/>
    <w:rsid w:val="0031717F"/>
    <w:rsid w:val="003172B7"/>
    <w:rsid w:val="0031750C"/>
    <w:rsid w:val="0031765A"/>
    <w:rsid w:val="003177D9"/>
    <w:rsid w:val="00317AAA"/>
    <w:rsid w:val="00317C24"/>
    <w:rsid w:val="00317CE9"/>
    <w:rsid w:val="00317F7E"/>
    <w:rsid w:val="003201BE"/>
    <w:rsid w:val="003203FE"/>
    <w:rsid w:val="003204E4"/>
    <w:rsid w:val="00320C8B"/>
    <w:rsid w:val="003213DA"/>
    <w:rsid w:val="003214A7"/>
    <w:rsid w:val="00321579"/>
    <w:rsid w:val="003216B7"/>
    <w:rsid w:val="0032194A"/>
    <w:rsid w:val="00321A0C"/>
    <w:rsid w:val="00321A99"/>
    <w:rsid w:val="00321D5A"/>
    <w:rsid w:val="00321EF1"/>
    <w:rsid w:val="0032217E"/>
    <w:rsid w:val="00322343"/>
    <w:rsid w:val="003223D8"/>
    <w:rsid w:val="003224BD"/>
    <w:rsid w:val="003224D7"/>
    <w:rsid w:val="003224E4"/>
    <w:rsid w:val="0032291B"/>
    <w:rsid w:val="00322C20"/>
    <w:rsid w:val="0032309E"/>
    <w:rsid w:val="00323184"/>
    <w:rsid w:val="00323420"/>
    <w:rsid w:val="003234EA"/>
    <w:rsid w:val="00323569"/>
    <w:rsid w:val="003235B0"/>
    <w:rsid w:val="003236F5"/>
    <w:rsid w:val="003237BB"/>
    <w:rsid w:val="00323EED"/>
    <w:rsid w:val="0032415A"/>
    <w:rsid w:val="00324381"/>
    <w:rsid w:val="003243B3"/>
    <w:rsid w:val="00324834"/>
    <w:rsid w:val="00324836"/>
    <w:rsid w:val="00324868"/>
    <w:rsid w:val="00324B2E"/>
    <w:rsid w:val="00324C1E"/>
    <w:rsid w:val="00324D47"/>
    <w:rsid w:val="00324D8B"/>
    <w:rsid w:val="0032519D"/>
    <w:rsid w:val="00325438"/>
    <w:rsid w:val="0032566D"/>
    <w:rsid w:val="0032573C"/>
    <w:rsid w:val="00325958"/>
    <w:rsid w:val="00325CC1"/>
    <w:rsid w:val="00325E77"/>
    <w:rsid w:val="00325EC9"/>
    <w:rsid w:val="00326141"/>
    <w:rsid w:val="003268F7"/>
    <w:rsid w:val="0032711E"/>
    <w:rsid w:val="00327257"/>
    <w:rsid w:val="00327336"/>
    <w:rsid w:val="00327435"/>
    <w:rsid w:val="00327446"/>
    <w:rsid w:val="0032774A"/>
    <w:rsid w:val="003277C1"/>
    <w:rsid w:val="00327946"/>
    <w:rsid w:val="00327C97"/>
    <w:rsid w:val="00330487"/>
    <w:rsid w:val="003306BA"/>
    <w:rsid w:val="00330AFD"/>
    <w:rsid w:val="00330C6C"/>
    <w:rsid w:val="003313E8"/>
    <w:rsid w:val="003314AA"/>
    <w:rsid w:val="0033159D"/>
    <w:rsid w:val="003316C2"/>
    <w:rsid w:val="00331853"/>
    <w:rsid w:val="00331A24"/>
    <w:rsid w:val="00331E59"/>
    <w:rsid w:val="00332217"/>
    <w:rsid w:val="00332508"/>
    <w:rsid w:val="0033279B"/>
    <w:rsid w:val="00332906"/>
    <w:rsid w:val="003329BE"/>
    <w:rsid w:val="00332C78"/>
    <w:rsid w:val="0033305D"/>
    <w:rsid w:val="003331AE"/>
    <w:rsid w:val="00333CDC"/>
    <w:rsid w:val="00333E62"/>
    <w:rsid w:val="00334019"/>
    <w:rsid w:val="00334208"/>
    <w:rsid w:val="00334791"/>
    <w:rsid w:val="0033496A"/>
    <w:rsid w:val="00334A8C"/>
    <w:rsid w:val="00334D5C"/>
    <w:rsid w:val="00334E10"/>
    <w:rsid w:val="00334F09"/>
    <w:rsid w:val="003350A1"/>
    <w:rsid w:val="00335107"/>
    <w:rsid w:val="00335144"/>
    <w:rsid w:val="00335163"/>
    <w:rsid w:val="003356A5"/>
    <w:rsid w:val="00335733"/>
    <w:rsid w:val="00336342"/>
    <w:rsid w:val="00336538"/>
    <w:rsid w:val="00337249"/>
    <w:rsid w:val="00337335"/>
    <w:rsid w:val="00337609"/>
    <w:rsid w:val="0033765E"/>
    <w:rsid w:val="0033769B"/>
    <w:rsid w:val="00337C95"/>
    <w:rsid w:val="00337FA2"/>
    <w:rsid w:val="00340096"/>
    <w:rsid w:val="00340314"/>
    <w:rsid w:val="0034036B"/>
    <w:rsid w:val="00340438"/>
    <w:rsid w:val="0034062F"/>
    <w:rsid w:val="00341115"/>
    <w:rsid w:val="00341242"/>
    <w:rsid w:val="003413BB"/>
    <w:rsid w:val="00341623"/>
    <w:rsid w:val="003417F3"/>
    <w:rsid w:val="00341994"/>
    <w:rsid w:val="00341D9B"/>
    <w:rsid w:val="003423F6"/>
    <w:rsid w:val="00342429"/>
    <w:rsid w:val="003428E7"/>
    <w:rsid w:val="00342AF3"/>
    <w:rsid w:val="00342BD2"/>
    <w:rsid w:val="00342BD9"/>
    <w:rsid w:val="00342E6F"/>
    <w:rsid w:val="003432DD"/>
    <w:rsid w:val="0034367E"/>
    <w:rsid w:val="00343D3F"/>
    <w:rsid w:val="00343DAA"/>
    <w:rsid w:val="00343E00"/>
    <w:rsid w:val="00343EE8"/>
    <w:rsid w:val="00343EF2"/>
    <w:rsid w:val="00343F56"/>
    <w:rsid w:val="00344151"/>
    <w:rsid w:val="003449BD"/>
    <w:rsid w:val="003449D0"/>
    <w:rsid w:val="0034517B"/>
    <w:rsid w:val="0034567A"/>
    <w:rsid w:val="003456C0"/>
    <w:rsid w:val="00345AF8"/>
    <w:rsid w:val="00345FC2"/>
    <w:rsid w:val="00346184"/>
    <w:rsid w:val="0034626F"/>
    <w:rsid w:val="003462DF"/>
    <w:rsid w:val="0034682B"/>
    <w:rsid w:val="003468C9"/>
    <w:rsid w:val="003469CA"/>
    <w:rsid w:val="003469E7"/>
    <w:rsid w:val="00346E0B"/>
    <w:rsid w:val="0034708D"/>
    <w:rsid w:val="003471CD"/>
    <w:rsid w:val="003477CE"/>
    <w:rsid w:val="0034791A"/>
    <w:rsid w:val="003479FF"/>
    <w:rsid w:val="00347A85"/>
    <w:rsid w:val="00347E9F"/>
    <w:rsid w:val="003501B0"/>
    <w:rsid w:val="0035052A"/>
    <w:rsid w:val="003509EA"/>
    <w:rsid w:val="00350AEE"/>
    <w:rsid w:val="00350F0B"/>
    <w:rsid w:val="00350FB5"/>
    <w:rsid w:val="003511AC"/>
    <w:rsid w:val="003512A4"/>
    <w:rsid w:val="00351317"/>
    <w:rsid w:val="0035132D"/>
    <w:rsid w:val="00351465"/>
    <w:rsid w:val="003514F9"/>
    <w:rsid w:val="00351B9F"/>
    <w:rsid w:val="00351F0F"/>
    <w:rsid w:val="00352230"/>
    <w:rsid w:val="00352318"/>
    <w:rsid w:val="00352403"/>
    <w:rsid w:val="00352482"/>
    <w:rsid w:val="00352587"/>
    <w:rsid w:val="0035285F"/>
    <w:rsid w:val="0035290E"/>
    <w:rsid w:val="0035317C"/>
    <w:rsid w:val="003537FC"/>
    <w:rsid w:val="00353C33"/>
    <w:rsid w:val="00353C70"/>
    <w:rsid w:val="00353C87"/>
    <w:rsid w:val="00353D16"/>
    <w:rsid w:val="00353DFB"/>
    <w:rsid w:val="00353EBD"/>
    <w:rsid w:val="00354867"/>
    <w:rsid w:val="00354F5B"/>
    <w:rsid w:val="003550E3"/>
    <w:rsid w:val="00355766"/>
    <w:rsid w:val="00355A0C"/>
    <w:rsid w:val="00355B17"/>
    <w:rsid w:val="00355C18"/>
    <w:rsid w:val="003564B9"/>
    <w:rsid w:val="003564C9"/>
    <w:rsid w:val="00356887"/>
    <w:rsid w:val="00356B3D"/>
    <w:rsid w:val="00356BEB"/>
    <w:rsid w:val="00356DD6"/>
    <w:rsid w:val="00357040"/>
    <w:rsid w:val="0035727E"/>
    <w:rsid w:val="00357862"/>
    <w:rsid w:val="0035791C"/>
    <w:rsid w:val="00357AC7"/>
    <w:rsid w:val="00357C84"/>
    <w:rsid w:val="00357D4C"/>
    <w:rsid w:val="00360186"/>
    <w:rsid w:val="0036078A"/>
    <w:rsid w:val="00360A8D"/>
    <w:rsid w:val="00360DBB"/>
    <w:rsid w:val="00360FF1"/>
    <w:rsid w:val="00361051"/>
    <w:rsid w:val="003612F3"/>
    <w:rsid w:val="00361B04"/>
    <w:rsid w:val="00361E35"/>
    <w:rsid w:val="0036205A"/>
    <w:rsid w:val="00362201"/>
    <w:rsid w:val="0036248C"/>
    <w:rsid w:val="00362513"/>
    <w:rsid w:val="0036274F"/>
    <w:rsid w:val="00362756"/>
    <w:rsid w:val="003629EB"/>
    <w:rsid w:val="00362E51"/>
    <w:rsid w:val="00363076"/>
    <w:rsid w:val="003630A6"/>
    <w:rsid w:val="00363627"/>
    <w:rsid w:val="00363645"/>
    <w:rsid w:val="00363853"/>
    <w:rsid w:val="003639CB"/>
    <w:rsid w:val="00363A7B"/>
    <w:rsid w:val="00364361"/>
    <w:rsid w:val="0036473E"/>
    <w:rsid w:val="00364C53"/>
    <w:rsid w:val="00364FEE"/>
    <w:rsid w:val="003650E7"/>
    <w:rsid w:val="0036511B"/>
    <w:rsid w:val="0036547E"/>
    <w:rsid w:val="003657BB"/>
    <w:rsid w:val="00365C6A"/>
    <w:rsid w:val="00365E4E"/>
    <w:rsid w:val="003664D3"/>
    <w:rsid w:val="0036656F"/>
    <w:rsid w:val="00366D45"/>
    <w:rsid w:val="00367092"/>
    <w:rsid w:val="00367682"/>
    <w:rsid w:val="00367B56"/>
    <w:rsid w:val="0037051E"/>
    <w:rsid w:val="00370530"/>
    <w:rsid w:val="00370A90"/>
    <w:rsid w:val="00370BF0"/>
    <w:rsid w:val="00370CA2"/>
    <w:rsid w:val="00370DCC"/>
    <w:rsid w:val="00370F0D"/>
    <w:rsid w:val="00371282"/>
    <w:rsid w:val="0037166A"/>
    <w:rsid w:val="00371CEE"/>
    <w:rsid w:val="00371F82"/>
    <w:rsid w:val="00372012"/>
    <w:rsid w:val="0037210E"/>
    <w:rsid w:val="00372327"/>
    <w:rsid w:val="0037269D"/>
    <w:rsid w:val="003726A3"/>
    <w:rsid w:val="003726CD"/>
    <w:rsid w:val="00372730"/>
    <w:rsid w:val="003728E0"/>
    <w:rsid w:val="003728E1"/>
    <w:rsid w:val="00372A6B"/>
    <w:rsid w:val="00372B0F"/>
    <w:rsid w:val="00372CC0"/>
    <w:rsid w:val="003730F8"/>
    <w:rsid w:val="003732F3"/>
    <w:rsid w:val="00373373"/>
    <w:rsid w:val="003734F3"/>
    <w:rsid w:val="003735CD"/>
    <w:rsid w:val="0037363F"/>
    <w:rsid w:val="003736EC"/>
    <w:rsid w:val="00373B99"/>
    <w:rsid w:val="00373BD8"/>
    <w:rsid w:val="00374086"/>
    <w:rsid w:val="0037468C"/>
    <w:rsid w:val="003746DB"/>
    <w:rsid w:val="00374A43"/>
    <w:rsid w:val="00374BEC"/>
    <w:rsid w:val="00374DA5"/>
    <w:rsid w:val="00374EEB"/>
    <w:rsid w:val="00375806"/>
    <w:rsid w:val="00375BF8"/>
    <w:rsid w:val="00375CD8"/>
    <w:rsid w:val="00375D05"/>
    <w:rsid w:val="00375D3D"/>
    <w:rsid w:val="00375F8D"/>
    <w:rsid w:val="00376112"/>
    <w:rsid w:val="0037645D"/>
    <w:rsid w:val="00376903"/>
    <w:rsid w:val="00376B78"/>
    <w:rsid w:val="00376CEF"/>
    <w:rsid w:val="00376E39"/>
    <w:rsid w:val="00377321"/>
    <w:rsid w:val="003775EB"/>
    <w:rsid w:val="00377B03"/>
    <w:rsid w:val="00377E44"/>
    <w:rsid w:val="0038011F"/>
    <w:rsid w:val="003802BC"/>
    <w:rsid w:val="0038047F"/>
    <w:rsid w:val="0038071D"/>
    <w:rsid w:val="00380F17"/>
    <w:rsid w:val="00381149"/>
    <w:rsid w:val="003816E4"/>
    <w:rsid w:val="003818AD"/>
    <w:rsid w:val="00381A6B"/>
    <w:rsid w:val="00381A7B"/>
    <w:rsid w:val="00381E17"/>
    <w:rsid w:val="00382534"/>
    <w:rsid w:val="00382653"/>
    <w:rsid w:val="00382CBA"/>
    <w:rsid w:val="00382E5A"/>
    <w:rsid w:val="00382F3F"/>
    <w:rsid w:val="0038328D"/>
    <w:rsid w:val="003835A5"/>
    <w:rsid w:val="00383710"/>
    <w:rsid w:val="00383971"/>
    <w:rsid w:val="00383D07"/>
    <w:rsid w:val="00383D11"/>
    <w:rsid w:val="00383ED7"/>
    <w:rsid w:val="00383FAB"/>
    <w:rsid w:val="003843CD"/>
    <w:rsid w:val="00384660"/>
    <w:rsid w:val="003846BE"/>
    <w:rsid w:val="003849B8"/>
    <w:rsid w:val="00384B43"/>
    <w:rsid w:val="00384DF1"/>
    <w:rsid w:val="00385042"/>
    <w:rsid w:val="00385340"/>
    <w:rsid w:val="003855B7"/>
    <w:rsid w:val="003856B7"/>
    <w:rsid w:val="00385B25"/>
    <w:rsid w:val="00385BA8"/>
    <w:rsid w:val="00385E3B"/>
    <w:rsid w:val="00385F55"/>
    <w:rsid w:val="003860C4"/>
    <w:rsid w:val="0038612F"/>
    <w:rsid w:val="00386194"/>
    <w:rsid w:val="003869AE"/>
    <w:rsid w:val="00386C84"/>
    <w:rsid w:val="00386E90"/>
    <w:rsid w:val="0038777B"/>
    <w:rsid w:val="00387977"/>
    <w:rsid w:val="00387991"/>
    <w:rsid w:val="00387B0A"/>
    <w:rsid w:val="00387E27"/>
    <w:rsid w:val="00390150"/>
    <w:rsid w:val="003901ED"/>
    <w:rsid w:val="003905C5"/>
    <w:rsid w:val="003908B8"/>
    <w:rsid w:val="003908C0"/>
    <w:rsid w:val="0039099D"/>
    <w:rsid w:val="00390B7C"/>
    <w:rsid w:val="00390BC8"/>
    <w:rsid w:val="00390EF9"/>
    <w:rsid w:val="00390F30"/>
    <w:rsid w:val="0039119D"/>
    <w:rsid w:val="00391481"/>
    <w:rsid w:val="003917C3"/>
    <w:rsid w:val="003917D0"/>
    <w:rsid w:val="00391DDF"/>
    <w:rsid w:val="00391F42"/>
    <w:rsid w:val="003924E7"/>
    <w:rsid w:val="003928A6"/>
    <w:rsid w:val="003929BE"/>
    <w:rsid w:val="00392C41"/>
    <w:rsid w:val="00392C80"/>
    <w:rsid w:val="00392CA4"/>
    <w:rsid w:val="0039315F"/>
    <w:rsid w:val="003931AA"/>
    <w:rsid w:val="003932AB"/>
    <w:rsid w:val="00393646"/>
    <w:rsid w:val="003939F0"/>
    <w:rsid w:val="00393F1B"/>
    <w:rsid w:val="003949A0"/>
    <w:rsid w:val="00394BBE"/>
    <w:rsid w:val="00394BDE"/>
    <w:rsid w:val="00394EB4"/>
    <w:rsid w:val="00394F21"/>
    <w:rsid w:val="00395438"/>
    <w:rsid w:val="0039543D"/>
    <w:rsid w:val="003956D1"/>
    <w:rsid w:val="0039580B"/>
    <w:rsid w:val="00395AAD"/>
    <w:rsid w:val="00396077"/>
    <w:rsid w:val="00396434"/>
    <w:rsid w:val="003964E3"/>
    <w:rsid w:val="00396736"/>
    <w:rsid w:val="00396750"/>
    <w:rsid w:val="003967A2"/>
    <w:rsid w:val="0039686C"/>
    <w:rsid w:val="00396AF1"/>
    <w:rsid w:val="00396AFC"/>
    <w:rsid w:val="00396FC0"/>
    <w:rsid w:val="00396FF5"/>
    <w:rsid w:val="003974F4"/>
    <w:rsid w:val="003A013D"/>
    <w:rsid w:val="003A091A"/>
    <w:rsid w:val="003A0D57"/>
    <w:rsid w:val="003A0E32"/>
    <w:rsid w:val="003A0EED"/>
    <w:rsid w:val="003A109D"/>
    <w:rsid w:val="003A11F9"/>
    <w:rsid w:val="003A1377"/>
    <w:rsid w:val="003A13F2"/>
    <w:rsid w:val="003A1880"/>
    <w:rsid w:val="003A18E0"/>
    <w:rsid w:val="003A1BC1"/>
    <w:rsid w:val="003A1BC9"/>
    <w:rsid w:val="003A1CB7"/>
    <w:rsid w:val="003A2030"/>
    <w:rsid w:val="003A22AA"/>
    <w:rsid w:val="003A2302"/>
    <w:rsid w:val="003A24D9"/>
    <w:rsid w:val="003A2872"/>
    <w:rsid w:val="003A287E"/>
    <w:rsid w:val="003A2C5F"/>
    <w:rsid w:val="003A2C70"/>
    <w:rsid w:val="003A2F50"/>
    <w:rsid w:val="003A3161"/>
    <w:rsid w:val="003A3380"/>
    <w:rsid w:val="003A3A3D"/>
    <w:rsid w:val="003A3DD8"/>
    <w:rsid w:val="003A4014"/>
    <w:rsid w:val="003A4206"/>
    <w:rsid w:val="003A48E9"/>
    <w:rsid w:val="003A4DA2"/>
    <w:rsid w:val="003A5144"/>
    <w:rsid w:val="003A5614"/>
    <w:rsid w:val="003A56B5"/>
    <w:rsid w:val="003A5726"/>
    <w:rsid w:val="003A5A15"/>
    <w:rsid w:val="003A5A82"/>
    <w:rsid w:val="003A5A9F"/>
    <w:rsid w:val="003A5C25"/>
    <w:rsid w:val="003A5C40"/>
    <w:rsid w:val="003A5E3D"/>
    <w:rsid w:val="003A5F6A"/>
    <w:rsid w:val="003A64A5"/>
    <w:rsid w:val="003A6722"/>
    <w:rsid w:val="003A677D"/>
    <w:rsid w:val="003A67BB"/>
    <w:rsid w:val="003A67F0"/>
    <w:rsid w:val="003A6925"/>
    <w:rsid w:val="003A6C99"/>
    <w:rsid w:val="003A6DE0"/>
    <w:rsid w:val="003A704D"/>
    <w:rsid w:val="003A71EF"/>
    <w:rsid w:val="003A7402"/>
    <w:rsid w:val="003A78C4"/>
    <w:rsid w:val="003A7950"/>
    <w:rsid w:val="003A7BD2"/>
    <w:rsid w:val="003A7E23"/>
    <w:rsid w:val="003A7F6C"/>
    <w:rsid w:val="003B03B8"/>
    <w:rsid w:val="003B05A8"/>
    <w:rsid w:val="003B0716"/>
    <w:rsid w:val="003B0CCD"/>
    <w:rsid w:val="003B0F8D"/>
    <w:rsid w:val="003B0FF8"/>
    <w:rsid w:val="003B1078"/>
    <w:rsid w:val="003B10B0"/>
    <w:rsid w:val="003B15A0"/>
    <w:rsid w:val="003B193D"/>
    <w:rsid w:val="003B1C3E"/>
    <w:rsid w:val="003B21CB"/>
    <w:rsid w:val="003B23A3"/>
    <w:rsid w:val="003B2688"/>
    <w:rsid w:val="003B2801"/>
    <w:rsid w:val="003B2A1B"/>
    <w:rsid w:val="003B2C57"/>
    <w:rsid w:val="003B2C7E"/>
    <w:rsid w:val="003B2E27"/>
    <w:rsid w:val="003B2ECE"/>
    <w:rsid w:val="003B2ED0"/>
    <w:rsid w:val="003B3103"/>
    <w:rsid w:val="003B359D"/>
    <w:rsid w:val="003B36D0"/>
    <w:rsid w:val="003B379E"/>
    <w:rsid w:val="003B46B4"/>
    <w:rsid w:val="003B46BA"/>
    <w:rsid w:val="003B477E"/>
    <w:rsid w:val="003B47BD"/>
    <w:rsid w:val="003B5479"/>
    <w:rsid w:val="003B551F"/>
    <w:rsid w:val="003B5662"/>
    <w:rsid w:val="003B6366"/>
    <w:rsid w:val="003B6393"/>
    <w:rsid w:val="003B6397"/>
    <w:rsid w:val="003B6EA4"/>
    <w:rsid w:val="003B6FD7"/>
    <w:rsid w:val="003B71D1"/>
    <w:rsid w:val="003B7259"/>
    <w:rsid w:val="003B773F"/>
    <w:rsid w:val="003B7BD7"/>
    <w:rsid w:val="003C0363"/>
    <w:rsid w:val="003C044D"/>
    <w:rsid w:val="003C0A4C"/>
    <w:rsid w:val="003C0D7A"/>
    <w:rsid w:val="003C1131"/>
    <w:rsid w:val="003C16C3"/>
    <w:rsid w:val="003C1911"/>
    <w:rsid w:val="003C1CF3"/>
    <w:rsid w:val="003C21DA"/>
    <w:rsid w:val="003C2467"/>
    <w:rsid w:val="003C2844"/>
    <w:rsid w:val="003C2D3A"/>
    <w:rsid w:val="003C2E33"/>
    <w:rsid w:val="003C2F49"/>
    <w:rsid w:val="003C317E"/>
    <w:rsid w:val="003C3242"/>
    <w:rsid w:val="003C360E"/>
    <w:rsid w:val="003C3DCC"/>
    <w:rsid w:val="003C3E8F"/>
    <w:rsid w:val="003C3F9F"/>
    <w:rsid w:val="003C4296"/>
    <w:rsid w:val="003C4395"/>
    <w:rsid w:val="003C4A7F"/>
    <w:rsid w:val="003C4C40"/>
    <w:rsid w:val="003C4D69"/>
    <w:rsid w:val="003C550D"/>
    <w:rsid w:val="003C64CA"/>
    <w:rsid w:val="003C68D4"/>
    <w:rsid w:val="003C6963"/>
    <w:rsid w:val="003C6D46"/>
    <w:rsid w:val="003C6F1E"/>
    <w:rsid w:val="003C7609"/>
    <w:rsid w:val="003C7A7F"/>
    <w:rsid w:val="003C7AF3"/>
    <w:rsid w:val="003C7AFC"/>
    <w:rsid w:val="003C7BAD"/>
    <w:rsid w:val="003C7CC3"/>
    <w:rsid w:val="003C7DB4"/>
    <w:rsid w:val="003C7F8A"/>
    <w:rsid w:val="003D0398"/>
    <w:rsid w:val="003D0770"/>
    <w:rsid w:val="003D0BCA"/>
    <w:rsid w:val="003D0BE1"/>
    <w:rsid w:val="003D0C1B"/>
    <w:rsid w:val="003D0DD6"/>
    <w:rsid w:val="003D122D"/>
    <w:rsid w:val="003D14A3"/>
    <w:rsid w:val="003D199B"/>
    <w:rsid w:val="003D1DDA"/>
    <w:rsid w:val="003D1EF6"/>
    <w:rsid w:val="003D1FEB"/>
    <w:rsid w:val="003D2145"/>
    <w:rsid w:val="003D2450"/>
    <w:rsid w:val="003D262E"/>
    <w:rsid w:val="003D29C2"/>
    <w:rsid w:val="003D2B41"/>
    <w:rsid w:val="003D3000"/>
    <w:rsid w:val="003D310F"/>
    <w:rsid w:val="003D318F"/>
    <w:rsid w:val="003D36FD"/>
    <w:rsid w:val="003D3C40"/>
    <w:rsid w:val="003D3C89"/>
    <w:rsid w:val="003D3ED0"/>
    <w:rsid w:val="003D3F04"/>
    <w:rsid w:val="003D3F7B"/>
    <w:rsid w:val="003D4085"/>
    <w:rsid w:val="003D47E0"/>
    <w:rsid w:val="003D4EB3"/>
    <w:rsid w:val="003D51E1"/>
    <w:rsid w:val="003D5722"/>
    <w:rsid w:val="003D5A2A"/>
    <w:rsid w:val="003D61A4"/>
    <w:rsid w:val="003D6B5D"/>
    <w:rsid w:val="003D6BA4"/>
    <w:rsid w:val="003D6D76"/>
    <w:rsid w:val="003D6DB5"/>
    <w:rsid w:val="003D715F"/>
    <w:rsid w:val="003D73FC"/>
    <w:rsid w:val="003D75AB"/>
    <w:rsid w:val="003D75FB"/>
    <w:rsid w:val="003D76D3"/>
    <w:rsid w:val="003D7A7E"/>
    <w:rsid w:val="003E0981"/>
    <w:rsid w:val="003E0B0F"/>
    <w:rsid w:val="003E0CBA"/>
    <w:rsid w:val="003E0DA5"/>
    <w:rsid w:val="003E1264"/>
    <w:rsid w:val="003E17D1"/>
    <w:rsid w:val="003E19E1"/>
    <w:rsid w:val="003E1AA9"/>
    <w:rsid w:val="003E1D0F"/>
    <w:rsid w:val="003E207A"/>
    <w:rsid w:val="003E2148"/>
    <w:rsid w:val="003E2229"/>
    <w:rsid w:val="003E231C"/>
    <w:rsid w:val="003E2339"/>
    <w:rsid w:val="003E24CE"/>
    <w:rsid w:val="003E2B21"/>
    <w:rsid w:val="003E2CF7"/>
    <w:rsid w:val="003E3001"/>
    <w:rsid w:val="003E328B"/>
    <w:rsid w:val="003E32B7"/>
    <w:rsid w:val="003E3341"/>
    <w:rsid w:val="003E3421"/>
    <w:rsid w:val="003E36DC"/>
    <w:rsid w:val="003E3B47"/>
    <w:rsid w:val="003E409C"/>
    <w:rsid w:val="003E46E5"/>
    <w:rsid w:val="003E4CF4"/>
    <w:rsid w:val="003E4EA2"/>
    <w:rsid w:val="003E5263"/>
    <w:rsid w:val="003E5907"/>
    <w:rsid w:val="003E5A0D"/>
    <w:rsid w:val="003E5B5F"/>
    <w:rsid w:val="003E5BE3"/>
    <w:rsid w:val="003E5BE8"/>
    <w:rsid w:val="003E5D82"/>
    <w:rsid w:val="003E61B0"/>
    <w:rsid w:val="003E62EA"/>
    <w:rsid w:val="003E6385"/>
    <w:rsid w:val="003E6419"/>
    <w:rsid w:val="003E677B"/>
    <w:rsid w:val="003E6BFC"/>
    <w:rsid w:val="003E7101"/>
    <w:rsid w:val="003E757A"/>
    <w:rsid w:val="003E76A9"/>
    <w:rsid w:val="003E7B73"/>
    <w:rsid w:val="003F0920"/>
    <w:rsid w:val="003F0B48"/>
    <w:rsid w:val="003F0F35"/>
    <w:rsid w:val="003F142E"/>
    <w:rsid w:val="003F1554"/>
    <w:rsid w:val="003F1816"/>
    <w:rsid w:val="003F1C00"/>
    <w:rsid w:val="003F1C1E"/>
    <w:rsid w:val="003F20EE"/>
    <w:rsid w:val="003F2289"/>
    <w:rsid w:val="003F24FE"/>
    <w:rsid w:val="003F267F"/>
    <w:rsid w:val="003F26B9"/>
    <w:rsid w:val="003F27EF"/>
    <w:rsid w:val="003F2F5E"/>
    <w:rsid w:val="003F322B"/>
    <w:rsid w:val="003F3967"/>
    <w:rsid w:val="003F39B5"/>
    <w:rsid w:val="003F3D65"/>
    <w:rsid w:val="003F3F53"/>
    <w:rsid w:val="003F40D6"/>
    <w:rsid w:val="003F414B"/>
    <w:rsid w:val="003F42AC"/>
    <w:rsid w:val="003F4539"/>
    <w:rsid w:val="003F47D9"/>
    <w:rsid w:val="003F48A9"/>
    <w:rsid w:val="003F4938"/>
    <w:rsid w:val="003F49EE"/>
    <w:rsid w:val="003F4F74"/>
    <w:rsid w:val="003F55A5"/>
    <w:rsid w:val="003F5A65"/>
    <w:rsid w:val="003F5BF6"/>
    <w:rsid w:val="003F5F42"/>
    <w:rsid w:val="003F6005"/>
    <w:rsid w:val="003F67FC"/>
    <w:rsid w:val="003F6A25"/>
    <w:rsid w:val="003F6B9C"/>
    <w:rsid w:val="003F6FCD"/>
    <w:rsid w:val="003F76C8"/>
    <w:rsid w:val="003F777D"/>
    <w:rsid w:val="003F77A1"/>
    <w:rsid w:val="00400328"/>
    <w:rsid w:val="004005C8"/>
    <w:rsid w:val="004006E1"/>
    <w:rsid w:val="00400734"/>
    <w:rsid w:val="0040080F"/>
    <w:rsid w:val="0040087E"/>
    <w:rsid w:val="004011CD"/>
    <w:rsid w:val="004012E6"/>
    <w:rsid w:val="00401576"/>
    <w:rsid w:val="004015E6"/>
    <w:rsid w:val="00401670"/>
    <w:rsid w:val="004020A0"/>
    <w:rsid w:val="00402351"/>
    <w:rsid w:val="004027DB"/>
    <w:rsid w:val="00402856"/>
    <w:rsid w:val="004028BB"/>
    <w:rsid w:val="004029BB"/>
    <w:rsid w:val="00402DAC"/>
    <w:rsid w:val="0040306D"/>
    <w:rsid w:val="00403104"/>
    <w:rsid w:val="004032DB"/>
    <w:rsid w:val="004034C5"/>
    <w:rsid w:val="004037F0"/>
    <w:rsid w:val="0040387C"/>
    <w:rsid w:val="0040392D"/>
    <w:rsid w:val="00403A0D"/>
    <w:rsid w:val="00403EC0"/>
    <w:rsid w:val="00403FF1"/>
    <w:rsid w:val="004041C2"/>
    <w:rsid w:val="0040428A"/>
    <w:rsid w:val="0040453F"/>
    <w:rsid w:val="00404631"/>
    <w:rsid w:val="00404B83"/>
    <w:rsid w:val="00404C8D"/>
    <w:rsid w:val="0040503A"/>
    <w:rsid w:val="00405103"/>
    <w:rsid w:val="00405252"/>
    <w:rsid w:val="0040537D"/>
    <w:rsid w:val="0040547D"/>
    <w:rsid w:val="004058E4"/>
    <w:rsid w:val="00405966"/>
    <w:rsid w:val="00406333"/>
    <w:rsid w:val="004068DB"/>
    <w:rsid w:val="004069D0"/>
    <w:rsid w:val="00406BB4"/>
    <w:rsid w:val="00406E33"/>
    <w:rsid w:val="004073F4"/>
    <w:rsid w:val="00407789"/>
    <w:rsid w:val="004078C0"/>
    <w:rsid w:val="00407B34"/>
    <w:rsid w:val="00407C8D"/>
    <w:rsid w:val="0041007C"/>
    <w:rsid w:val="00410C3F"/>
    <w:rsid w:val="00410C8B"/>
    <w:rsid w:val="0041105E"/>
    <w:rsid w:val="0041106C"/>
    <w:rsid w:val="00411190"/>
    <w:rsid w:val="0041158E"/>
    <w:rsid w:val="0041181E"/>
    <w:rsid w:val="00411B57"/>
    <w:rsid w:val="00411CEB"/>
    <w:rsid w:val="00412313"/>
    <w:rsid w:val="0041243F"/>
    <w:rsid w:val="00412EFE"/>
    <w:rsid w:val="004132B7"/>
    <w:rsid w:val="004134E2"/>
    <w:rsid w:val="00413C40"/>
    <w:rsid w:val="00414235"/>
    <w:rsid w:val="0041450A"/>
    <w:rsid w:val="00414569"/>
    <w:rsid w:val="00414667"/>
    <w:rsid w:val="00414726"/>
    <w:rsid w:val="004147A3"/>
    <w:rsid w:val="0041492A"/>
    <w:rsid w:val="00414AA1"/>
    <w:rsid w:val="00414B38"/>
    <w:rsid w:val="00414B5C"/>
    <w:rsid w:val="00414DB1"/>
    <w:rsid w:val="00414F7E"/>
    <w:rsid w:val="004151F4"/>
    <w:rsid w:val="0041532D"/>
    <w:rsid w:val="0041575B"/>
    <w:rsid w:val="00415864"/>
    <w:rsid w:val="00415A67"/>
    <w:rsid w:val="00415B23"/>
    <w:rsid w:val="00415FD0"/>
    <w:rsid w:val="0041619B"/>
    <w:rsid w:val="004168DC"/>
    <w:rsid w:val="00416AE5"/>
    <w:rsid w:val="00416E4C"/>
    <w:rsid w:val="00416FC4"/>
    <w:rsid w:val="00417270"/>
    <w:rsid w:val="00417396"/>
    <w:rsid w:val="00417768"/>
    <w:rsid w:val="004179C7"/>
    <w:rsid w:val="00417B80"/>
    <w:rsid w:val="00417C5C"/>
    <w:rsid w:val="00417F41"/>
    <w:rsid w:val="00417F66"/>
    <w:rsid w:val="0042084B"/>
    <w:rsid w:val="004208CA"/>
    <w:rsid w:val="004208E0"/>
    <w:rsid w:val="0042098B"/>
    <w:rsid w:val="004209BA"/>
    <w:rsid w:val="00420A60"/>
    <w:rsid w:val="00420A90"/>
    <w:rsid w:val="00420C1B"/>
    <w:rsid w:val="00420E2E"/>
    <w:rsid w:val="00420E8B"/>
    <w:rsid w:val="00421038"/>
    <w:rsid w:val="00421053"/>
    <w:rsid w:val="004212EB"/>
    <w:rsid w:val="004214B0"/>
    <w:rsid w:val="00421A77"/>
    <w:rsid w:val="00421E03"/>
    <w:rsid w:val="0042208A"/>
    <w:rsid w:val="0042223F"/>
    <w:rsid w:val="00422CF2"/>
    <w:rsid w:val="00423263"/>
    <w:rsid w:val="00423CC7"/>
    <w:rsid w:val="00423DE6"/>
    <w:rsid w:val="00423DEB"/>
    <w:rsid w:val="00423E47"/>
    <w:rsid w:val="00424550"/>
    <w:rsid w:val="0042468A"/>
    <w:rsid w:val="00424800"/>
    <w:rsid w:val="004248F2"/>
    <w:rsid w:val="004251EB"/>
    <w:rsid w:val="00425600"/>
    <w:rsid w:val="00425800"/>
    <w:rsid w:val="00425BC3"/>
    <w:rsid w:val="0042611B"/>
    <w:rsid w:val="004266BA"/>
    <w:rsid w:val="0042691C"/>
    <w:rsid w:val="00426B28"/>
    <w:rsid w:val="00426D59"/>
    <w:rsid w:val="00426D5A"/>
    <w:rsid w:val="00426FEA"/>
    <w:rsid w:val="004271EE"/>
    <w:rsid w:val="00427431"/>
    <w:rsid w:val="00427904"/>
    <w:rsid w:val="00427963"/>
    <w:rsid w:val="00427A01"/>
    <w:rsid w:val="00427C42"/>
    <w:rsid w:val="00427E32"/>
    <w:rsid w:val="004303E2"/>
    <w:rsid w:val="004305A8"/>
    <w:rsid w:val="0043089F"/>
    <w:rsid w:val="00430C3E"/>
    <w:rsid w:val="00430CEF"/>
    <w:rsid w:val="00430E75"/>
    <w:rsid w:val="00431357"/>
    <w:rsid w:val="004313CE"/>
    <w:rsid w:val="00431D93"/>
    <w:rsid w:val="00432333"/>
    <w:rsid w:val="0043252F"/>
    <w:rsid w:val="00432852"/>
    <w:rsid w:val="00432C88"/>
    <w:rsid w:val="00432DCA"/>
    <w:rsid w:val="00432E02"/>
    <w:rsid w:val="00432E92"/>
    <w:rsid w:val="00433599"/>
    <w:rsid w:val="00433D5D"/>
    <w:rsid w:val="00433F81"/>
    <w:rsid w:val="004341C5"/>
    <w:rsid w:val="00434440"/>
    <w:rsid w:val="0043466C"/>
    <w:rsid w:val="004346E5"/>
    <w:rsid w:val="004347FE"/>
    <w:rsid w:val="00434BF0"/>
    <w:rsid w:val="00435488"/>
    <w:rsid w:val="0043548A"/>
    <w:rsid w:val="004358E5"/>
    <w:rsid w:val="00435A23"/>
    <w:rsid w:val="00435B8C"/>
    <w:rsid w:val="00435C22"/>
    <w:rsid w:val="00436118"/>
    <w:rsid w:val="004365C6"/>
    <w:rsid w:val="0043666C"/>
    <w:rsid w:val="00436779"/>
    <w:rsid w:val="00436D8D"/>
    <w:rsid w:val="004370CD"/>
    <w:rsid w:val="0043741D"/>
    <w:rsid w:val="004375C3"/>
    <w:rsid w:val="004375DE"/>
    <w:rsid w:val="00437677"/>
    <w:rsid w:val="00437ADC"/>
    <w:rsid w:val="00437D76"/>
    <w:rsid w:val="00440598"/>
    <w:rsid w:val="00440DC2"/>
    <w:rsid w:val="00440E6F"/>
    <w:rsid w:val="00440FB9"/>
    <w:rsid w:val="00441092"/>
    <w:rsid w:val="004412DA"/>
    <w:rsid w:val="004414FF"/>
    <w:rsid w:val="0044150D"/>
    <w:rsid w:val="00441537"/>
    <w:rsid w:val="004415CE"/>
    <w:rsid w:val="00441853"/>
    <w:rsid w:val="00442077"/>
    <w:rsid w:val="00442089"/>
    <w:rsid w:val="004421F6"/>
    <w:rsid w:val="00442662"/>
    <w:rsid w:val="00442818"/>
    <w:rsid w:val="004428C0"/>
    <w:rsid w:val="00442DBC"/>
    <w:rsid w:val="00442E4D"/>
    <w:rsid w:val="00443040"/>
    <w:rsid w:val="004430BD"/>
    <w:rsid w:val="0044323B"/>
    <w:rsid w:val="00443342"/>
    <w:rsid w:val="00443741"/>
    <w:rsid w:val="00443A14"/>
    <w:rsid w:val="00443D14"/>
    <w:rsid w:val="00443F93"/>
    <w:rsid w:val="00443FEB"/>
    <w:rsid w:val="004444DB"/>
    <w:rsid w:val="0044460E"/>
    <w:rsid w:val="00444D5B"/>
    <w:rsid w:val="004453A4"/>
    <w:rsid w:val="00445504"/>
    <w:rsid w:val="004455B2"/>
    <w:rsid w:val="0044573E"/>
    <w:rsid w:val="00445A6D"/>
    <w:rsid w:val="00445CC6"/>
    <w:rsid w:val="004460BD"/>
    <w:rsid w:val="004461C8"/>
    <w:rsid w:val="00446453"/>
    <w:rsid w:val="00446477"/>
    <w:rsid w:val="00446506"/>
    <w:rsid w:val="00446819"/>
    <w:rsid w:val="00446883"/>
    <w:rsid w:val="00446B94"/>
    <w:rsid w:val="00446CC2"/>
    <w:rsid w:val="00446D46"/>
    <w:rsid w:val="00446E7A"/>
    <w:rsid w:val="004472A3"/>
    <w:rsid w:val="004473B3"/>
    <w:rsid w:val="004479A4"/>
    <w:rsid w:val="00447A28"/>
    <w:rsid w:val="00447D9E"/>
    <w:rsid w:val="00447E3E"/>
    <w:rsid w:val="004502FD"/>
    <w:rsid w:val="0045049D"/>
    <w:rsid w:val="0045053D"/>
    <w:rsid w:val="0045079C"/>
    <w:rsid w:val="0045098E"/>
    <w:rsid w:val="00450A6A"/>
    <w:rsid w:val="00450B58"/>
    <w:rsid w:val="0045121A"/>
    <w:rsid w:val="00451919"/>
    <w:rsid w:val="00451A17"/>
    <w:rsid w:val="00451BCA"/>
    <w:rsid w:val="00451D28"/>
    <w:rsid w:val="00451E75"/>
    <w:rsid w:val="004521E1"/>
    <w:rsid w:val="00452536"/>
    <w:rsid w:val="004526D2"/>
    <w:rsid w:val="00453499"/>
    <w:rsid w:val="00453B92"/>
    <w:rsid w:val="00453CDA"/>
    <w:rsid w:val="0045435F"/>
    <w:rsid w:val="00454472"/>
    <w:rsid w:val="00454959"/>
    <w:rsid w:val="00454C0F"/>
    <w:rsid w:val="00454F0A"/>
    <w:rsid w:val="0045504C"/>
    <w:rsid w:val="004551B1"/>
    <w:rsid w:val="00455554"/>
    <w:rsid w:val="0045594A"/>
    <w:rsid w:val="0045594D"/>
    <w:rsid w:val="00455A1F"/>
    <w:rsid w:val="00455AF6"/>
    <w:rsid w:val="00456207"/>
    <w:rsid w:val="0045635D"/>
    <w:rsid w:val="00456A8D"/>
    <w:rsid w:val="00456B86"/>
    <w:rsid w:val="00456DF9"/>
    <w:rsid w:val="00456E7E"/>
    <w:rsid w:val="00456F1C"/>
    <w:rsid w:val="00457214"/>
    <w:rsid w:val="004572FA"/>
    <w:rsid w:val="004573C5"/>
    <w:rsid w:val="004579EF"/>
    <w:rsid w:val="00457E51"/>
    <w:rsid w:val="00460254"/>
    <w:rsid w:val="00460256"/>
    <w:rsid w:val="004602DB"/>
    <w:rsid w:val="004603AC"/>
    <w:rsid w:val="00460652"/>
    <w:rsid w:val="0046070F"/>
    <w:rsid w:val="0046109C"/>
    <w:rsid w:val="00461155"/>
    <w:rsid w:val="004612C4"/>
    <w:rsid w:val="00461939"/>
    <w:rsid w:val="00461A56"/>
    <w:rsid w:val="00461AE2"/>
    <w:rsid w:val="00461BB5"/>
    <w:rsid w:val="00461C32"/>
    <w:rsid w:val="00461CD8"/>
    <w:rsid w:val="00461D2E"/>
    <w:rsid w:val="0046249B"/>
    <w:rsid w:val="004624B3"/>
    <w:rsid w:val="00462541"/>
    <w:rsid w:val="00462544"/>
    <w:rsid w:val="00462564"/>
    <w:rsid w:val="0046268A"/>
    <w:rsid w:val="00462A75"/>
    <w:rsid w:val="00462BA5"/>
    <w:rsid w:val="00462C13"/>
    <w:rsid w:val="00462F4E"/>
    <w:rsid w:val="004630A3"/>
    <w:rsid w:val="0046313C"/>
    <w:rsid w:val="00463188"/>
    <w:rsid w:val="00463301"/>
    <w:rsid w:val="00463455"/>
    <w:rsid w:val="004637BC"/>
    <w:rsid w:val="00463B70"/>
    <w:rsid w:val="0046405F"/>
    <w:rsid w:val="004647D7"/>
    <w:rsid w:val="00464A9B"/>
    <w:rsid w:val="00464B19"/>
    <w:rsid w:val="00464F54"/>
    <w:rsid w:val="00465174"/>
    <w:rsid w:val="00465365"/>
    <w:rsid w:val="0046548B"/>
    <w:rsid w:val="004654A8"/>
    <w:rsid w:val="00465612"/>
    <w:rsid w:val="00465828"/>
    <w:rsid w:val="004660A4"/>
    <w:rsid w:val="00466119"/>
    <w:rsid w:val="0046620F"/>
    <w:rsid w:val="00466343"/>
    <w:rsid w:val="004664E8"/>
    <w:rsid w:val="00466588"/>
    <w:rsid w:val="004665CE"/>
    <w:rsid w:val="00466CC1"/>
    <w:rsid w:val="00466DC1"/>
    <w:rsid w:val="00466E98"/>
    <w:rsid w:val="00467125"/>
    <w:rsid w:val="00467209"/>
    <w:rsid w:val="004672E0"/>
    <w:rsid w:val="0046732A"/>
    <w:rsid w:val="004675F3"/>
    <w:rsid w:val="00467F27"/>
    <w:rsid w:val="004701C5"/>
    <w:rsid w:val="00470425"/>
    <w:rsid w:val="004704DB"/>
    <w:rsid w:val="0047079A"/>
    <w:rsid w:val="00471032"/>
    <w:rsid w:val="00471544"/>
    <w:rsid w:val="0047165A"/>
    <w:rsid w:val="004716E7"/>
    <w:rsid w:val="004719BE"/>
    <w:rsid w:val="00471C95"/>
    <w:rsid w:val="00471F61"/>
    <w:rsid w:val="0047202C"/>
    <w:rsid w:val="004724E7"/>
    <w:rsid w:val="004725E9"/>
    <w:rsid w:val="004726EB"/>
    <w:rsid w:val="00472891"/>
    <w:rsid w:val="00472A09"/>
    <w:rsid w:val="00472AC3"/>
    <w:rsid w:val="00472C94"/>
    <w:rsid w:val="00472E92"/>
    <w:rsid w:val="004731AC"/>
    <w:rsid w:val="00473240"/>
    <w:rsid w:val="00473C27"/>
    <w:rsid w:val="00473F14"/>
    <w:rsid w:val="00473FF2"/>
    <w:rsid w:val="004740DD"/>
    <w:rsid w:val="00474923"/>
    <w:rsid w:val="00474C17"/>
    <w:rsid w:val="00474FFB"/>
    <w:rsid w:val="00475344"/>
    <w:rsid w:val="0047574F"/>
    <w:rsid w:val="0047599B"/>
    <w:rsid w:val="00475BC2"/>
    <w:rsid w:val="00475BE8"/>
    <w:rsid w:val="00475C26"/>
    <w:rsid w:val="00475E8E"/>
    <w:rsid w:val="00476095"/>
    <w:rsid w:val="004765B8"/>
    <w:rsid w:val="004765BC"/>
    <w:rsid w:val="004765E6"/>
    <w:rsid w:val="0047663B"/>
    <w:rsid w:val="00476802"/>
    <w:rsid w:val="00476A25"/>
    <w:rsid w:val="00476ED1"/>
    <w:rsid w:val="00477065"/>
    <w:rsid w:val="0047742A"/>
    <w:rsid w:val="004777CF"/>
    <w:rsid w:val="00477CB3"/>
    <w:rsid w:val="00477DD2"/>
    <w:rsid w:val="00477E78"/>
    <w:rsid w:val="004802BF"/>
    <w:rsid w:val="0048037C"/>
    <w:rsid w:val="00480601"/>
    <w:rsid w:val="0048077B"/>
    <w:rsid w:val="004808CD"/>
    <w:rsid w:val="00480EE5"/>
    <w:rsid w:val="0048107C"/>
    <w:rsid w:val="00481114"/>
    <w:rsid w:val="0048114E"/>
    <w:rsid w:val="00481371"/>
    <w:rsid w:val="00481435"/>
    <w:rsid w:val="00481732"/>
    <w:rsid w:val="00481815"/>
    <w:rsid w:val="00481A57"/>
    <w:rsid w:val="00481BCA"/>
    <w:rsid w:val="0048215B"/>
    <w:rsid w:val="0048257C"/>
    <w:rsid w:val="00482B43"/>
    <w:rsid w:val="004831E0"/>
    <w:rsid w:val="0048370F"/>
    <w:rsid w:val="00483B11"/>
    <w:rsid w:val="00484382"/>
    <w:rsid w:val="00484AEA"/>
    <w:rsid w:val="00484B4B"/>
    <w:rsid w:val="0048523D"/>
    <w:rsid w:val="0048550D"/>
    <w:rsid w:val="0048571C"/>
    <w:rsid w:val="00485807"/>
    <w:rsid w:val="00485C8E"/>
    <w:rsid w:val="00485D17"/>
    <w:rsid w:val="0048602F"/>
    <w:rsid w:val="00486415"/>
    <w:rsid w:val="0048644D"/>
    <w:rsid w:val="0048688F"/>
    <w:rsid w:val="00486C2F"/>
    <w:rsid w:val="00487AA7"/>
    <w:rsid w:val="00487D60"/>
    <w:rsid w:val="00487EA5"/>
    <w:rsid w:val="0049000E"/>
    <w:rsid w:val="004900A7"/>
    <w:rsid w:val="00490561"/>
    <w:rsid w:val="004905EA"/>
    <w:rsid w:val="00490726"/>
    <w:rsid w:val="004909E6"/>
    <w:rsid w:val="004912E8"/>
    <w:rsid w:val="00491407"/>
    <w:rsid w:val="00491681"/>
    <w:rsid w:val="00491976"/>
    <w:rsid w:val="00491A3F"/>
    <w:rsid w:val="00491D93"/>
    <w:rsid w:val="00491EEE"/>
    <w:rsid w:val="00491F11"/>
    <w:rsid w:val="00492118"/>
    <w:rsid w:val="00492364"/>
    <w:rsid w:val="004924CC"/>
    <w:rsid w:val="00492812"/>
    <w:rsid w:val="00492957"/>
    <w:rsid w:val="00492B0E"/>
    <w:rsid w:val="00492E92"/>
    <w:rsid w:val="00493590"/>
    <w:rsid w:val="0049359D"/>
    <w:rsid w:val="0049377E"/>
    <w:rsid w:val="00493B23"/>
    <w:rsid w:val="00493B88"/>
    <w:rsid w:val="00493C8A"/>
    <w:rsid w:val="00493D47"/>
    <w:rsid w:val="00494B67"/>
    <w:rsid w:val="004951B4"/>
    <w:rsid w:val="00495490"/>
    <w:rsid w:val="0049561F"/>
    <w:rsid w:val="004958E1"/>
    <w:rsid w:val="00495930"/>
    <w:rsid w:val="00495E1E"/>
    <w:rsid w:val="00495E44"/>
    <w:rsid w:val="00496056"/>
    <w:rsid w:val="004960E4"/>
    <w:rsid w:val="00496126"/>
    <w:rsid w:val="00496242"/>
    <w:rsid w:val="00496A9E"/>
    <w:rsid w:val="004975F6"/>
    <w:rsid w:val="00497763"/>
    <w:rsid w:val="00497E09"/>
    <w:rsid w:val="004A04A7"/>
    <w:rsid w:val="004A05F0"/>
    <w:rsid w:val="004A07F3"/>
    <w:rsid w:val="004A08D2"/>
    <w:rsid w:val="004A0B9F"/>
    <w:rsid w:val="004A0D6A"/>
    <w:rsid w:val="004A12C3"/>
    <w:rsid w:val="004A1386"/>
    <w:rsid w:val="004A140A"/>
    <w:rsid w:val="004A1463"/>
    <w:rsid w:val="004A1BD2"/>
    <w:rsid w:val="004A1E46"/>
    <w:rsid w:val="004A20E2"/>
    <w:rsid w:val="004A21A7"/>
    <w:rsid w:val="004A22E7"/>
    <w:rsid w:val="004A247E"/>
    <w:rsid w:val="004A24AA"/>
    <w:rsid w:val="004A24FE"/>
    <w:rsid w:val="004A25B4"/>
    <w:rsid w:val="004A2989"/>
    <w:rsid w:val="004A2D2E"/>
    <w:rsid w:val="004A2E70"/>
    <w:rsid w:val="004A2F2A"/>
    <w:rsid w:val="004A3308"/>
    <w:rsid w:val="004A345C"/>
    <w:rsid w:val="004A3E05"/>
    <w:rsid w:val="004A45EA"/>
    <w:rsid w:val="004A4600"/>
    <w:rsid w:val="004A4617"/>
    <w:rsid w:val="004A465B"/>
    <w:rsid w:val="004A4790"/>
    <w:rsid w:val="004A480B"/>
    <w:rsid w:val="004A4A66"/>
    <w:rsid w:val="004A4BBB"/>
    <w:rsid w:val="004A4E53"/>
    <w:rsid w:val="004A4FEB"/>
    <w:rsid w:val="004A52E2"/>
    <w:rsid w:val="004A533C"/>
    <w:rsid w:val="004A55F8"/>
    <w:rsid w:val="004A5775"/>
    <w:rsid w:val="004A5CD6"/>
    <w:rsid w:val="004A5F39"/>
    <w:rsid w:val="004A6258"/>
    <w:rsid w:val="004A629D"/>
    <w:rsid w:val="004A6340"/>
    <w:rsid w:val="004A6536"/>
    <w:rsid w:val="004A659A"/>
    <w:rsid w:val="004A67B9"/>
    <w:rsid w:val="004A6D9C"/>
    <w:rsid w:val="004A7139"/>
    <w:rsid w:val="004A72BD"/>
    <w:rsid w:val="004A7315"/>
    <w:rsid w:val="004A7D3A"/>
    <w:rsid w:val="004A7F52"/>
    <w:rsid w:val="004B005C"/>
    <w:rsid w:val="004B0081"/>
    <w:rsid w:val="004B02D7"/>
    <w:rsid w:val="004B087E"/>
    <w:rsid w:val="004B0E60"/>
    <w:rsid w:val="004B113A"/>
    <w:rsid w:val="004B12B4"/>
    <w:rsid w:val="004B151E"/>
    <w:rsid w:val="004B160E"/>
    <w:rsid w:val="004B1A79"/>
    <w:rsid w:val="004B1A91"/>
    <w:rsid w:val="004B1F23"/>
    <w:rsid w:val="004B1FE0"/>
    <w:rsid w:val="004B22A6"/>
    <w:rsid w:val="004B26FE"/>
    <w:rsid w:val="004B2753"/>
    <w:rsid w:val="004B2799"/>
    <w:rsid w:val="004B2A83"/>
    <w:rsid w:val="004B2EFF"/>
    <w:rsid w:val="004B32D5"/>
    <w:rsid w:val="004B3503"/>
    <w:rsid w:val="004B3527"/>
    <w:rsid w:val="004B3774"/>
    <w:rsid w:val="004B382E"/>
    <w:rsid w:val="004B38AE"/>
    <w:rsid w:val="004B3BD7"/>
    <w:rsid w:val="004B3C5F"/>
    <w:rsid w:val="004B3C6D"/>
    <w:rsid w:val="004B3D29"/>
    <w:rsid w:val="004B3F59"/>
    <w:rsid w:val="004B4046"/>
    <w:rsid w:val="004B41CA"/>
    <w:rsid w:val="004B4400"/>
    <w:rsid w:val="004B44B5"/>
    <w:rsid w:val="004B4FAF"/>
    <w:rsid w:val="004B50B7"/>
    <w:rsid w:val="004B5686"/>
    <w:rsid w:val="004B5F29"/>
    <w:rsid w:val="004B5FD2"/>
    <w:rsid w:val="004B672A"/>
    <w:rsid w:val="004B679D"/>
    <w:rsid w:val="004B6907"/>
    <w:rsid w:val="004B69AE"/>
    <w:rsid w:val="004B6C81"/>
    <w:rsid w:val="004B703E"/>
    <w:rsid w:val="004B70EF"/>
    <w:rsid w:val="004B734C"/>
    <w:rsid w:val="004B73A2"/>
    <w:rsid w:val="004B7401"/>
    <w:rsid w:val="004B745D"/>
    <w:rsid w:val="004B76FE"/>
    <w:rsid w:val="004B7EDC"/>
    <w:rsid w:val="004C0003"/>
    <w:rsid w:val="004C016E"/>
    <w:rsid w:val="004C0531"/>
    <w:rsid w:val="004C09E0"/>
    <w:rsid w:val="004C0E39"/>
    <w:rsid w:val="004C122C"/>
    <w:rsid w:val="004C12A8"/>
    <w:rsid w:val="004C136E"/>
    <w:rsid w:val="004C1588"/>
    <w:rsid w:val="004C19AA"/>
    <w:rsid w:val="004C19F5"/>
    <w:rsid w:val="004C2044"/>
    <w:rsid w:val="004C26BA"/>
    <w:rsid w:val="004C295F"/>
    <w:rsid w:val="004C29FD"/>
    <w:rsid w:val="004C2AD8"/>
    <w:rsid w:val="004C3180"/>
    <w:rsid w:val="004C35DC"/>
    <w:rsid w:val="004C35F5"/>
    <w:rsid w:val="004C36AE"/>
    <w:rsid w:val="004C38E5"/>
    <w:rsid w:val="004C3AAB"/>
    <w:rsid w:val="004C3B2B"/>
    <w:rsid w:val="004C3C8C"/>
    <w:rsid w:val="004C3E15"/>
    <w:rsid w:val="004C3EC9"/>
    <w:rsid w:val="004C410E"/>
    <w:rsid w:val="004C43C5"/>
    <w:rsid w:val="004C4B21"/>
    <w:rsid w:val="004C4DF5"/>
    <w:rsid w:val="004C5051"/>
    <w:rsid w:val="004C5063"/>
    <w:rsid w:val="004C51FF"/>
    <w:rsid w:val="004C5457"/>
    <w:rsid w:val="004C5600"/>
    <w:rsid w:val="004C5905"/>
    <w:rsid w:val="004C5926"/>
    <w:rsid w:val="004C59CA"/>
    <w:rsid w:val="004C5B20"/>
    <w:rsid w:val="004C6221"/>
    <w:rsid w:val="004C62FA"/>
    <w:rsid w:val="004C64C3"/>
    <w:rsid w:val="004C67D0"/>
    <w:rsid w:val="004C67DD"/>
    <w:rsid w:val="004C6AD0"/>
    <w:rsid w:val="004C6C1F"/>
    <w:rsid w:val="004C7499"/>
    <w:rsid w:val="004C7542"/>
    <w:rsid w:val="004C76DE"/>
    <w:rsid w:val="004C7EBA"/>
    <w:rsid w:val="004D0562"/>
    <w:rsid w:val="004D0605"/>
    <w:rsid w:val="004D08C5"/>
    <w:rsid w:val="004D0CCD"/>
    <w:rsid w:val="004D0DA5"/>
    <w:rsid w:val="004D0F43"/>
    <w:rsid w:val="004D1577"/>
    <w:rsid w:val="004D15FE"/>
    <w:rsid w:val="004D1664"/>
    <w:rsid w:val="004D18F7"/>
    <w:rsid w:val="004D1945"/>
    <w:rsid w:val="004D1B4A"/>
    <w:rsid w:val="004D1DB7"/>
    <w:rsid w:val="004D1FFD"/>
    <w:rsid w:val="004D2173"/>
    <w:rsid w:val="004D27BC"/>
    <w:rsid w:val="004D28FF"/>
    <w:rsid w:val="004D2CCC"/>
    <w:rsid w:val="004D2E8A"/>
    <w:rsid w:val="004D329E"/>
    <w:rsid w:val="004D3429"/>
    <w:rsid w:val="004D34A4"/>
    <w:rsid w:val="004D357C"/>
    <w:rsid w:val="004D3B12"/>
    <w:rsid w:val="004D3D5E"/>
    <w:rsid w:val="004D404B"/>
    <w:rsid w:val="004D40FE"/>
    <w:rsid w:val="004D44CD"/>
    <w:rsid w:val="004D4563"/>
    <w:rsid w:val="004D4672"/>
    <w:rsid w:val="004D4A3B"/>
    <w:rsid w:val="004D4EC2"/>
    <w:rsid w:val="004D596B"/>
    <w:rsid w:val="004D5BA0"/>
    <w:rsid w:val="004D60E2"/>
    <w:rsid w:val="004D634D"/>
    <w:rsid w:val="004D65E1"/>
    <w:rsid w:val="004D68EF"/>
    <w:rsid w:val="004D7307"/>
    <w:rsid w:val="004D7430"/>
    <w:rsid w:val="004D7520"/>
    <w:rsid w:val="004D7685"/>
    <w:rsid w:val="004D77ED"/>
    <w:rsid w:val="004D7846"/>
    <w:rsid w:val="004D7AE4"/>
    <w:rsid w:val="004E0316"/>
    <w:rsid w:val="004E0688"/>
    <w:rsid w:val="004E096E"/>
    <w:rsid w:val="004E0BBF"/>
    <w:rsid w:val="004E0D37"/>
    <w:rsid w:val="004E0DB7"/>
    <w:rsid w:val="004E0DCC"/>
    <w:rsid w:val="004E0FE1"/>
    <w:rsid w:val="004E118D"/>
    <w:rsid w:val="004E1411"/>
    <w:rsid w:val="004E194B"/>
    <w:rsid w:val="004E1C7C"/>
    <w:rsid w:val="004E23C7"/>
    <w:rsid w:val="004E23D2"/>
    <w:rsid w:val="004E2641"/>
    <w:rsid w:val="004E27B6"/>
    <w:rsid w:val="004E2805"/>
    <w:rsid w:val="004E294D"/>
    <w:rsid w:val="004E29D5"/>
    <w:rsid w:val="004E2A98"/>
    <w:rsid w:val="004E2C13"/>
    <w:rsid w:val="004E2C5B"/>
    <w:rsid w:val="004E2D4F"/>
    <w:rsid w:val="004E2D70"/>
    <w:rsid w:val="004E2E20"/>
    <w:rsid w:val="004E3434"/>
    <w:rsid w:val="004E351E"/>
    <w:rsid w:val="004E364F"/>
    <w:rsid w:val="004E37A9"/>
    <w:rsid w:val="004E3D12"/>
    <w:rsid w:val="004E3DE2"/>
    <w:rsid w:val="004E40F1"/>
    <w:rsid w:val="004E42D4"/>
    <w:rsid w:val="004E43AF"/>
    <w:rsid w:val="004E43BA"/>
    <w:rsid w:val="004E46BB"/>
    <w:rsid w:val="004E4A1D"/>
    <w:rsid w:val="004E4DC8"/>
    <w:rsid w:val="004E511B"/>
    <w:rsid w:val="004E5427"/>
    <w:rsid w:val="004E5727"/>
    <w:rsid w:val="004E577C"/>
    <w:rsid w:val="004E5892"/>
    <w:rsid w:val="004E5963"/>
    <w:rsid w:val="004E5D96"/>
    <w:rsid w:val="004E5F2A"/>
    <w:rsid w:val="004E60FB"/>
    <w:rsid w:val="004E611C"/>
    <w:rsid w:val="004E669E"/>
    <w:rsid w:val="004E66F5"/>
    <w:rsid w:val="004E6759"/>
    <w:rsid w:val="004E6B54"/>
    <w:rsid w:val="004E6E80"/>
    <w:rsid w:val="004E70E5"/>
    <w:rsid w:val="004E7321"/>
    <w:rsid w:val="004E76E5"/>
    <w:rsid w:val="004E7BFF"/>
    <w:rsid w:val="004E7CD4"/>
    <w:rsid w:val="004E7F47"/>
    <w:rsid w:val="004F0278"/>
    <w:rsid w:val="004F028F"/>
    <w:rsid w:val="004F02C9"/>
    <w:rsid w:val="004F0557"/>
    <w:rsid w:val="004F0718"/>
    <w:rsid w:val="004F07DF"/>
    <w:rsid w:val="004F0B68"/>
    <w:rsid w:val="004F0B96"/>
    <w:rsid w:val="004F0CFB"/>
    <w:rsid w:val="004F1880"/>
    <w:rsid w:val="004F1C99"/>
    <w:rsid w:val="004F1D8B"/>
    <w:rsid w:val="004F1ECE"/>
    <w:rsid w:val="004F1F00"/>
    <w:rsid w:val="004F28D9"/>
    <w:rsid w:val="004F2BF1"/>
    <w:rsid w:val="004F2CD9"/>
    <w:rsid w:val="004F2D03"/>
    <w:rsid w:val="004F2E18"/>
    <w:rsid w:val="004F33E9"/>
    <w:rsid w:val="004F38DE"/>
    <w:rsid w:val="004F3992"/>
    <w:rsid w:val="004F3A9A"/>
    <w:rsid w:val="004F3F48"/>
    <w:rsid w:val="004F4126"/>
    <w:rsid w:val="004F427D"/>
    <w:rsid w:val="004F4342"/>
    <w:rsid w:val="004F493A"/>
    <w:rsid w:val="004F4F93"/>
    <w:rsid w:val="004F4FBD"/>
    <w:rsid w:val="004F5053"/>
    <w:rsid w:val="004F5256"/>
    <w:rsid w:val="004F5394"/>
    <w:rsid w:val="004F564C"/>
    <w:rsid w:val="004F5890"/>
    <w:rsid w:val="004F594F"/>
    <w:rsid w:val="004F5B70"/>
    <w:rsid w:val="004F5E09"/>
    <w:rsid w:val="004F61FD"/>
    <w:rsid w:val="004F648A"/>
    <w:rsid w:val="004F65B8"/>
    <w:rsid w:val="004F6899"/>
    <w:rsid w:val="004F6A14"/>
    <w:rsid w:val="004F6DB2"/>
    <w:rsid w:val="004F6FB9"/>
    <w:rsid w:val="004F713D"/>
    <w:rsid w:val="004F7510"/>
    <w:rsid w:val="004F7C7B"/>
    <w:rsid w:val="004F7CEA"/>
    <w:rsid w:val="004F7EBE"/>
    <w:rsid w:val="0050056D"/>
    <w:rsid w:val="005006FB"/>
    <w:rsid w:val="00500D14"/>
    <w:rsid w:val="00500DC8"/>
    <w:rsid w:val="005015E3"/>
    <w:rsid w:val="00501699"/>
    <w:rsid w:val="005017A6"/>
    <w:rsid w:val="0050184D"/>
    <w:rsid w:val="005019F2"/>
    <w:rsid w:val="00501A82"/>
    <w:rsid w:val="00501BA2"/>
    <w:rsid w:val="00502551"/>
    <w:rsid w:val="0050281D"/>
    <w:rsid w:val="00502B1A"/>
    <w:rsid w:val="0050351A"/>
    <w:rsid w:val="00503653"/>
    <w:rsid w:val="0050367A"/>
    <w:rsid w:val="005037F7"/>
    <w:rsid w:val="00503814"/>
    <w:rsid w:val="00503A86"/>
    <w:rsid w:val="00503BC3"/>
    <w:rsid w:val="00503CA5"/>
    <w:rsid w:val="00504153"/>
    <w:rsid w:val="00504360"/>
    <w:rsid w:val="00504545"/>
    <w:rsid w:val="00504877"/>
    <w:rsid w:val="00504C42"/>
    <w:rsid w:val="00505212"/>
    <w:rsid w:val="005062A4"/>
    <w:rsid w:val="00506628"/>
    <w:rsid w:val="00506681"/>
    <w:rsid w:val="00506788"/>
    <w:rsid w:val="00506825"/>
    <w:rsid w:val="00506A68"/>
    <w:rsid w:val="00506AE6"/>
    <w:rsid w:val="00506C3E"/>
    <w:rsid w:val="00506D02"/>
    <w:rsid w:val="00507129"/>
    <w:rsid w:val="0050723D"/>
    <w:rsid w:val="00507425"/>
    <w:rsid w:val="00507662"/>
    <w:rsid w:val="005076D6"/>
    <w:rsid w:val="005078C6"/>
    <w:rsid w:val="00507AB4"/>
    <w:rsid w:val="005103B1"/>
    <w:rsid w:val="005105C5"/>
    <w:rsid w:val="005106B4"/>
    <w:rsid w:val="00510747"/>
    <w:rsid w:val="00510AF2"/>
    <w:rsid w:val="00510B31"/>
    <w:rsid w:val="00510B37"/>
    <w:rsid w:val="00510B42"/>
    <w:rsid w:val="0051103E"/>
    <w:rsid w:val="005119C0"/>
    <w:rsid w:val="00511AD3"/>
    <w:rsid w:val="00512457"/>
    <w:rsid w:val="00512589"/>
    <w:rsid w:val="005127B7"/>
    <w:rsid w:val="0051292F"/>
    <w:rsid w:val="0051297B"/>
    <w:rsid w:val="005132E3"/>
    <w:rsid w:val="005132E6"/>
    <w:rsid w:val="0051331A"/>
    <w:rsid w:val="00513321"/>
    <w:rsid w:val="005137CB"/>
    <w:rsid w:val="00513B95"/>
    <w:rsid w:val="00513F9B"/>
    <w:rsid w:val="00514652"/>
    <w:rsid w:val="00514824"/>
    <w:rsid w:val="005148DB"/>
    <w:rsid w:val="00515110"/>
    <w:rsid w:val="005154AB"/>
    <w:rsid w:val="0051573D"/>
    <w:rsid w:val="00515955"/>
    <w:rsid w:val="00515D6E"/>
    <w:rsid w:val="00515E00"/>
    <w:rsid w:val="00516128"/>
    <w:rsid w:val="00516735"/>
    <w:rsid w:val="005169E3"/>
    <w:rsid w:val="00517109"/>
    <w:rsid w:val="00517215"/>
    <w:rsid w:val="0051738B"/>
    <w:rsid w:val="005176B1"/>
    <w:rsid w:val="0051771B"/>
    <w:rsid w:val="0051775D"/>
    <w:rsid w:val="005201C5"/>
    <w:rsid w:val="005203A5"/>
    <w:rsid w:val="005204C3"/>
    <w:rsid w:val="00520963"/>
    <w:rsid w:val="00520AFF"/>
    <w:rsid w:val="00520D10"/>
    <w:rsid w:val="00520E7B"/>
    <w:rsid w:val="00520FB3"/>
    <w:rsid w:val="0052160F"/>
    <w:rsid w:val="005216D5"/>
    <w:rsid w:val="00521801"/>
    <w:rsid w:val="00521B69"/>
    <w:rsid w:val="0052238D"/>
    <w:rsid w:val="005223A5"/>
    <w:rsid w:val="005226E3"/>
    <w:rsid w:val="00522788"/>
    <w:rsid w:val="0052296E"/>
    <w:rsid w:val="005229D5"/>
    <w:rsid w:val="00522B8D"/>
    <w:rsid w:val="00522CE4"/>
    <w:rsid w:val="005230D1"/>
    <w:rsid w:val="005233F8"/>
    <w:rsid w:val="005237B8"/>
    <w:rsid w:val="00523843"/>
    <w:rsid w:val="005238B1"/>
    <w:rsid w:val="00523F8A"/>
    <w:rsid w:val="00523FC6"/>
    <w:rsid w:val="0052406B"/>
    <w:rsid w:val="0052412B"/>
    <w:rsid w:val="0052440C"/>
    <w:rsid w:val="00524614"/>
    <w:rsid w:val="0052494F"/>
    <w:rsid w:val="00524B80"/>
    <w:rsid w:val="00524E37"/>
    <w:rsid w:val="00524EA8"/>
    <w:rsid w:val="005252E1"/>
    <w:rsid w:val="005253F4"/>
    <w:rsid w:val="005256C8"/>
    <w:rsid w:val="005256EE"/>
    <w:rsid w:val="00525B0F"/>
    <w:rsid w:val="00525BBC"/>
    <w:rsid w:val="00525D5E"/>
    <w:rsid w:val="00525F16"/>
    <w:rsid w:val="00525FBD"/>
    <w:rsid w:val="0052606E"/>
    <w:rsid w:val="00526641"/>
    <w:rsid w:val="00526ABF"/>
    <w:rsid w:val="00526FA7"/>
    <w:rsid w:val="00527015"/>
    <w:rsid w:val="005272D5"/>
    <w:rsid w:val="0052767C"/>
    <w:rsid w:val="0052784C"/>
    <w:rsid w:val="0052785A"/>
    <w:rsid w:val="00527BEB"/>
    <w:rsid w:val="00527E42"/>
    <w:rsid w:val="0053016A"/>
    <w:rsid w:val="005301F6"/>
    <w:rsid w:val="005302AB"/>
    <w:rsid w:val="005304B3"/>
    <w:rsid w:val="00530EAE"/>
    <w:rsid w:val="00530F71"/>
    <w:rsid w:val="00530F72"/>
    <w:rsid w:val="005312E7"/>
    <w:rsid w:val="005314CA"/>
    <w:rsid w:val="005315FE"/>
    <w:rsid w:val="00531653"/>
    <w:rsid w:val="005319F5"/>
    <w:rsid w:val="00531CA5"/>
    <w:rsid w:val="00532173"/>
    <w:rsid w:val="0053227A"/>
    <w:rsid w:val="00532449"/>
    <w:rsid w:val="005325F2"/>
    <w:rsid w:val="0053268D"/>
    <w:rsid w:val="005328E7"/>
    <w:rsid w:val="00532B80"/>
    <w:rsid w:val="00532CA8"/>
    <w:rsid w:val="00532E4F"/>
    <w:rsid w:val="00533280"/>
    <w:rsid w:val="00533599"/>
    <w:rsid w:val="005337A7"/>
    <w:rsid w:val="005346C0"/>
    <w:rsid w:val="005347D7"/>
    <w:rsid w:val="00534878"/>
    <w:rsid w:val="0053491C"/>
    <w:rsid w:val="00534B5E"/>
    <w:rsid w:val="00534C90"/>
    <w:rsid w:val="00535E5C"/>
    <w:rsid w:val="00535F65"/>
    <w:rsid w:val="00536496"/>
    <w:rsid w:val="005364D6"/>
    <w:rsid w:val="0053690D"/>
    <w:rsid w:val="005369ED"/>
    <w:rsid w:val="005372E4"/>
    <w:rsid w:val="005375A4"/>
    <w:rsid w:val="0054009A"/>
    <w:rsid w:val="005400F7"/>
    <w:rsid w:val="005402BC"/>
    <w:rsid w:val="005407D8"/>
    <w:rsid w:val="00540CDA"/>
    <w:rsid w:val="00540CF6"/>
    <w:rsid w:val="00541048"/>
    <w:rsid w:val="00541093"/>
    <w:rsid w:val="005410E4"/>
    <w:rsid w:val="005412F1"/>
    <w:rsid w:val="00541A8B"/>
    <w:rsid w:val="00541F80"/>
    <w:rsid w:val="005421D7"/>
    <w:rsid w:val="0054254C"/>
    <w:rsid w:val="005425BD"/>
    <w:rsid w:val="00542B8B"/>
    <w:rsid w:val="00542BEE"/>
    <w:rsid w:val="00542CE2"/>
    <w:rsid w:val="0054304C"/>
    <w:rsid w:val="005430AA"/>
    <w:rsid w:val="005431D8"/>
    <w:rsid w:val="0054320F"/>
    <w:rsid w:val="00543BFB"/>
    <w:rsid w:val="00543E67"/>
    <w:rsid w:val="0054446D"/>
    <w:rsid w:val="00544903"/>
    <w:rsid w:val="00544953"/>
    <w:rsid w:val="00544D26"/>
    <w:rsid w:val="00544D50"/>
    <w:rsid w:val="0054552C"/>
    <w:rsid w:val="005455F7"/>
    <w:rsid w:val="0054569A"/>
    <w:rsid w:val="0054574B"/>
    <w:rsid w:val="00545C23"/>
    <w:rsid w:val="00546059"/>
    <w:rsid w:val="00546153"/>
    <w:rsid w:val="00546305"/>
    <w:rsid w:val="0054635F"/>
    <w:rsid w:val="005467D3"/>
    <w:rsid w:val="00546C22"/>
    <w:rsid w:val="005471B4"/>
    <w:rsid w:val="005471F5"/>
    <w:rsid w:val="0054738D"/>
    <w:rsid w:val="005475E0"/>
    <w:rsid w:val="00547857"/>
    <w:rsid w:val="005478FD"/>
    <w:rsid w:val="00547910"/>
    <w:rsid w:val="00547CEB"/>
    <w:rsid w:val="00547E51"/>
    <w:rsid w:val="005501DD"/>
    <w:rsid w:val="005503B6"/>
    <w:rsid w:val="005506DC"/>
    <w:rsid w:val="00550D08"/>
    <w:rsid w:val="005511A3"/>
    <w:rsid w:val="005513E0"/>
    <w:rsid w:val="0055152D"/>
    <w:rsid w:val="005516F5"/>
    <w:rsid w:val="00551CB0"/>
    <w:rsid w:val="0055253A"/>
    <w:rsid w:val="0055286A"/>
    <w:rsid w:val="00552AE1"/>
    <w:rsid w:val="00552C10"/>
    <w:rsid w:val="00552E55"/>
    <w:rsid w:val="00552EE5"/>
    <w:rsid w:val="005531D6"/>
    <w:rsid w:val="005531F8"/>
    <w:rsid w:val="0055344F"/>
    <w:rsid w:val="005538A5"/>
    <w:rsid w:val="005539B7"/>
    <w:rsid w:val="00553A4A"/>
    <w:rsid w:val="00553E56"/>
    <w:rsid w:val="00554180"/>
    <w:rsid w:val="0055445B"/>
    <w:rsid w:val="00554841"/>
    <w:rsid w:val="00554B68"/>
    <w:rsid w:val="00554BF8"/>
    <w:rsid w:val="00554D63"/>
    <w:rsid w:val="00555756"/>
    <w:rsid w:val="00555A0B"/>
    <w:rsid w:val="00555B29"/>
    <w:rsid w:val="005560C2"/>
    <w:rsid w:val="005565C8"/>
    <w:rsid w:val="00556678"/>
    <w:rsid w:val="0055671D"/>
    <w:rsid w:val="00556746"/>
    <w:rsid w:val="00556859"/>
    <w:rsid w:val="00556985"/>
    <w:rsid w:val="00556BE8"/>
    <w:rsid w:val="00557071"/>
    <w:rsid w:val="005575B0"/>
    <w:rsid w:val="00557A61"/>
    <w:rsid w:val="00560075"/>
    <w:rsid w:val="00560094"/>
    <w:rsid w:val="0056013D"/>
    <w:rsid w:val="005602DE"/>
    <w:rsid w:val="00560351"/>
    <w:rsid w:val="00560477"/>
    <w:rsid w:val="005607E9"/>
    <w:rsid w:val="00560F71"/>
    <w:rsid w:val="00561074"/>
    <w:rsid w:val="0056117B"/>
    <w:rsid w:val="0056148F"/>
    <w:rsid w:val="00562083"/>
    <w:rsid w:val="0056241B"/>
    <w:rsid w:val="00562893"/>
    <w:rsid w:val="005632D1"/>
    <w:rsid w:val="005634BF"/>
    <w:rsid w:val="00563543"/>
    <w:rsid w:val="005635CC"/>
    <w:rsid w:val="00563A88"/>
    <w:rsid w:val="00563C8E"/>
    <w:rsid w:val="00563FFB"/>
    <w:rsid w:val="0056464E"/>
    <w:rsid w:val="00564921"/>
    <w:rsid w:val="00564A9F"/>
    <w:rsid w:val="00564B1F"/>
    <w:rsid w:val="00564D7C"/>
    <w:rsid w:val="00564FD7"/>
    <w:rsid w:val="00565579"/>
    <w:rsid w:val="00565653"/>
    <w:rsid w:val="005658C3"/>
    <w:rsid w:val="00565AD1"/>
    <w:rsid w:val="00565C3A"/>
    <w:rsid w:val="00565C9F"/>
    <w:rsid w:val="00565DF0"/>
    <w:rsid w:val="00565E51"/>
    <w:rsid w:val="00566984"/>
    <w:rsid w:val="00567357"/>
    <w:rsid w:val="00567614"/>
    <w:rsid w:val="00567D9D"/>
    <w:rsid w:val="00567F3B"/>
    <w:rsid w:val="00567FED"/>
    <w:rsid w:val="0057011B"/>
    <w:rsid w:val="005703A3"/>
    <w:rsid w:val="0057081D"/>
    <w:rsid w:val="00570A9A"/>
    <w:rsid w:val="00570D02"/>
    <w:rsid w:val="00570E19"/>
    <w:rsid w:val="0057122D"/>
    <w:rsid w:val="0057138A"/>
    <w:rsid w:val="005717A6"/>
    <w:rsid w:val="00571887"/>
    <w:rsid w:val="005719DB"/>
    <w:rsid w:val="00571A16"/>
    <w:rsid w:val="00571BA4"/>
    <w:rsid w:val="00571D3E"/>
    <w:rsid w:val="00572129"/>
    <w:rsid w:val="00572677"/>
    <w:rsid w:val="00572918"/>
    <w:rsid w:val="00572C7E"/>
    <w:rsid w:val="00572D8B"/>
    <w:rsid w:val="00572EE7"/>
    <w:rsid w:val="005731B6"/>
    <w:rsid w:val="00573A5A"/>
    <w:rsid w:val="00573B66"/>
    <w:rsid w:val="00573DC9"/>
    <w:rsid w:val="00574170"/>
    <w:rsid w:val="005742D7"/>
    <w:rsid w:val="0057456C"/>
    <w:rsid w:val="0057459F"/>
    <w:rsid w:val="0057481D"/>
    <w:rsid w:val="00574B30"/>
    <w:rsid w:val="00574BC0"/>
    <w:rsid w:val="00574CFF"/>
    <w:rsid w:val="00574D3C"/>
    <w:rsid w:val="00574DCF"/>
    <w:rsid w:val="00575627"/>
    <w:rsid w:val="00575778"/>
    <w:rsid w:val="0057587A"/>
    <w:rsid w:val="005765D1"/>
    <w:rsid w:val="00576893"/>
    <w:rsid w:val="00576FEB"/>
    <w:rsid w:val="0057796C"/>
    <w:rsid w:val="00577BD4"/>
    <w:rsid w:val="00577C19"/>
    <w:rsid w:val="005801A4"/>
    <w:rsid w:val="00580296"/>
    <w:rsid w:val="00580656"/>
    <w:rsid w:val="00580808"/>
    <w:rsid w:val="005809CA"/>
    <w:rsid w:val="00580B5D"/>
    <w:rsid w:val="005810B2"/>
    <w:rsid w:val="005811D7"/>
    <w:rsid w:val="0058172F"/>
    <w:rsid w:val="0058177C"/>
    <w:rsid w:val="005818BE"/>
    <w:rsid w:val="00581ACA"/>
    <w:rsid w:val="00581AEF"/>
    <w:rsid w:val="00581B21"/>
    <w:rsid w:val="00581F04"/>
    <w:rsid w:val="005820D6"/>
    <w:rsid w:val="005821B9"/>
    <w:rsid w:val="005821C7"/>
    <w:rsid w:val="005823B6"/>
    <w:rsid w:val="00582810"/>
    <w:rsid w:val="0058325F"/>
    <w:rsid w:val="005838CA"/>
    <w:rsid w:val="005841B5"/>
    <w:rsid w:val="00584413"/>
    <w:rsid w:val="00584676"/>
    <w:rsid w:val="005847E0"/>
    <w:rsid w:val="00584B20"/>
    <w:rsid w:val="00584E64"/>
    <w:rsid w:val="00584FD4"/>
    <w:rsid w:val="0058519E"/>
    <w:rsid w:val="00585292"/>
    <w:rsid w:val="005853AD"/>
    <w:rsid w:val="005854B8"/>
    <w:rsid w:val="005854F1"/>
    <w:rsid w:val="00585B0C"/>
    <w:rsid w:val="00585B82"/>
    <w:rsid w:val="00585BB5"/>
    <w:rsid w:val="00585C1E"/>
    <w:rsid w:val="00585C4F"/>
    <w:rsid w:val="00585D5F"/>
    <w:rsid w:val="00586031"/>
    <w:rsid w:val="0058623C"/>
    <w:rsid w:val="005865C6"/>
    <w:rsid w:val="00586627"/>
    <w:rsid w:val="00586643"/>
    <w:rsid w:val="0058671B"/>
    <w:rsid w:val="005868F6"/>
    <w:rsid w:val="00586E33"/>
    <w:rsid w:val="00587666"/>
    <w:rsid w:val="005876B7"/>
    <w:rsid w:val="00587780"/>
    <w:rsid w:val="00587A3E"/>
    <w:rsid w:val="00587A53"/>
    <w:rsid w:val="00587F1A"/>
    <w:rsid w:val="00590189"/>
    <w:rsid w:val="0059026D"/>
    <w:rsid w:val="00590739"/>
    <w:rsid w:val="00590FE4"/>
    <w:rsid w:val="005910CE"/>
    <w:rsid w:val="005913F2"/>
    <w:rsid w:val="00591749"/>
    <w:rsid w:val="005918AA"/>
    <w:rsid w:val="005918B3"/>
    <w:rsid w:val="00591E06"/>
    <w:rsid w:val="00592388"/>
    <w:rsid w:val="0059245C"/>
    <w:rsid w:val="005929FD"/>
    <w:rsid w:val="00592D13"/>
    <w:rsid w:val="00592D42"/>
    <w:rsid w:val="00592E02"/>
    <w:rsid w:val="00593281"/>
    <w:rsid w:val="005935F4"/>
    <w:rsid w:val="00593681"/>
    <w:rsid w:val="00593D9F"/>
    <w:rsid w:val="00594032"/>
    <w:rsid w:val="005942DB"/>
    <w:rsid w:val="00594601"/>
    <w:rsid w:val="00594708"/>
    <w:rsid w:val="00594B66"/>
    <w:rsid w:val="0059513F"/>
    <w:rsid w:val="0059537F"/>
    <w:rsid w:val="005953FE"/>
    <w:rsid w:val="00595966"/>
    <w:rsid w:val="00595D20"/>
    <w:rsid w:val="00596143"/>
    <w:rsid w:val="00596162"/>
    <w:rsid w:val="005965C7"/>
    <w:rsid w:val="00596B2F"/>
    <w:rsid w:val="00596C57"/>
    <w:rsid w:val="00596F14"/>
    <w:rsid w:val="00596F3A"/>
    <w:rsid w:val="005973E3"/>
    <w:rsid w:val="0059762E"/>
    <w:rsid w:val="005976CF"/>
    <w:rsid w:val="0059771C"/>
    <w:rsid w:val="00597AA1"/>
    <w:rsid w:val="00597CAF"/>
    <w:rsid w:val="00597D0B"/>
    <w:rsid w:val="005A01BE"/>
    <w:rsid w:val="005A02BB"/>
    <w:rsid w:val="005A02FD"/>
    <w:rsid w:val="005A03D5"/>
    <w:rsid w:val="005A094A"/>
    <w:rsid w:val="005A0DC6"/>
    <w:rsid w:val="005A0E31"/>
    <w:rsid w:val="005A106D"/>
    <w:rsid w:val="005A109F"/>
    <w:rsid w:val="005A1736"/>
    <w:rsid w:val="005A1DC1"/>
    <w:rsid w:val="005A1F4E"/>
    <w:rsid w:val="005A2733"/>
    <w:rsid w:val="005A291A"/>
    <w:rsid w:val="005A2DE0"/>
    <w:rsid w:val="005A3181"/>
    <w:rsid w:val="005A33D1"/>
    <w:rsid w:val="005A37DD"/>
    <w:rsid w:val="005A3B5C"/>
    <w:rsid w:val="005A3BEE"/>
    <w:rsid w:val="005A3D4A"/>
    <w:rsid w:val="005A3FAE"/>
    <w:rsid w:val="005A458A"/>
    <w:rsid w:val="005A45CF"/>
    <w:rsid w:val="005A4AF9"/>
    <w:rsid w:val="005A4E80"/>
    <w:rsid w:val="005A5429"/>
    <w:rsid w:val="005A573B"/>
    <w:rsid w:val="005A5CDA"/>
    <w:rsid w:val="005A60CA"/>
    <w:rsid w:val="005A63C0"/>
    <w:rsid w:val="005A64EB"/>
    <w:rsid w:val="005A6530"/>
    <w:rsid w:val="005A67B3"/>
    <w:rsid w:val="005A6BF5"/>
    <w:rsid w:val="005A791A"/>
    <w:rsid w:val="005A7ADE"/>
    <w:rsid w:val="005A7C1F"/>
    <w:rsid w:val="005A7D7D"/>
    <w:rsid w:val="005A7F72"/>
    <w:rsid w:val="005B0388"/>
    <w:rsid w:val="005B0625"/>
    <w:rsid w:val="005B0AB8"/>
    <w:rsid w:val="005B0C6A"/>
    <w:rsid w:val="005B0D19"/>
    <w:rsid w:val="005B1015"/>
    <w:rsid w:val="005B1363"/>
    <w:rsid w:val="005B15B8"/>
    <w:rsid w:val="005B16B1"/>
    <w:rsid w:val="005B16FC"/>
    <w:rsid w:val="005B18BA"/>
    <w:rsid w:val="005B19A6"/>
    <w:rsid w:val="005B1D3D"/>
    <w:rsid w:val="005B1D8F"/>
    <w:rsid w:val="005B1E7A"/>
    <w:rsid w:val="005B214E"/>
    <w:rsid w:val="005B2676"/>
    <w:rsid w:val="005B27D2"/>
    <w:rsid w:val="005B289C"/>
    <w:rsid w:val="005B2965"/>
    <w:rsid w:val="005B2A1B"/>
    <w:rsid w:val="005B2DF5"/>
    <w:rsid w:val="005B4567"/>
    <w:rsid w:val="005B4594"/>
    <w:rsid w:val="005B4723"/>
    <w:rsid w:val="005B4B60"/>
    <w:rsid w:val="005B4BAB"/>
    <w:rsid w:val="005B4BAD"/>
    <w:rsid w:val="005B4BF7"/>
    <w:rsid w:val="005B5681"/>
    <w:rsid w:val="005B59FB"/>
    <w:rsid w:val="005B5BD8"/>
    <w:rsid w:val="005B5D02"/>
    <w:rsid w:val="005B5ECF"/>
    <w:rsid w:val="005B5EEC"/>
    <w:rsid w:val="005B622C"/>
    <w:rsid w:val="005B66B8"/>
    <w:rsid w:val="005B6BB0"/>
    <w:rsid w:val="005B6BCA"/>
    <w:rsid w:val="005B6FFF"/>
    <w:rsid w:val="005B7059"/>
    <w:rsid w:val="005B72C6"/>
    <w:rsid w:val="005B72FE"/>
    <w:rsid w:val="005B759E"/>
    <w:rsid w:val="005B7AC2"/>
    <w:rsid w:val="005B7D38"/>
    <w:rsid w:val="005C05DD"/>
    <w:rsid w:val="005C060B"/>
    <w:rsid w:val="005C0865"/>
    <w:rsid w:val="005C144D"/>
    <w:rsid w:val="005C1460"/>
    <w:rsid w:val="005C15D4"/>
    <w:rsid w:val="005C18F8"/>
    <w:rsid w:val="005C1E1F"/>
    <w:rsid w:val="005C2092"/>
    <w:rsid w:val="005C24B3"/>
    <w:rsid w:val="005C2538"/>
    <w:rsid w:val="005C26E8"/>
    <w:rsid w:val="005C2880"/>
    <w:rsid w:val="005C2897"/>
    <w:rsid w:val="005C29D0"/>
    <w:rsid w:val="005C2B5B"/>
    <w:rsid w:val="005C2C8F"/>
    <w:rsid w:val="005C31F3"/>
    <w:rsid w:val="005C33CC"/>
    <w:rsid w:val="005C3577"/>
    <w:rsid w:val="005C3603"/>
    <w:rsid w:val="005C3DEF"/>
    <w:rsid w:val="005C4149"/>
    <w:rsid w:val="005C4A2D"/>
    <w:rsid w:val="005C4A52"/>
    <w:rsid w:val="005C502D"/>
    <w:rsid w:val="005C53CB"/>
    <w:rsid w:val="005C549A"/>
    <w:rsid w:val="005C583A"/>
    <w:rsid w:val="005C5A78"/>
    <w:rsid w:val="005C5AD7"/>
    <w:rsid w:val="005C6592"/>
    <w:rsid w:val="005C6642"/>
    <w:rsid w:val="005C690E"/>
    <w:rsid w:val="005C6A0B"/>
    <w:rsid w:val="005C6B62"/>
    <w:rsid w:val="005C6F35"/>
    <w:rsid w:val="005C714B"/>
    <w:rsid w:val="005C72C6"/>
    <w:rsid w:val="005C74BB"/>
    <w:rsid w:val="005C798F"/>
    <w:rsid w:val="005C7EEB"/>
    <w:rsid w:val="005D023C"/>
    <w:rsid w:val="005D02AC"/>
    <w:rsid w:val="005D0352"/>
    <w:rsid w:val="005D0505"/>
    <w:rsid w:val="005D0688"/>
    <w:rsid w:val="005D0D50"/>
    <w:rsid w:val="005D0ED8"/>
    <w:rsid w:val="005D103A"/>
    <w:rsid w:val="005D10A7"/>
    <w:rsid w:val="005D129C"/>
    <w:rsid w:val="005D1354"/>
    <w:rsid w:val="005D1378"/>
    <w:rsid w:val="005D13F1"/>
    <w:rsid w:val="005D1881"/>
    <w:rsid w:val="005D195F"/>
    <w:rsid w:val="005D19D6"/>
    <w:rsid w:val="005D1F48"/>
    <w:rsid w:val="005D20F6"/>
    <w:rsid w:val="005D25C1"/>
    <w:rsid w:val="005D284B"/>
    <w:rsid w:val="005D2CC5"/>
    <w:rsid w:val="005D3035"/>
    <w:rsid w:val="005D33D2"/>
    <w:rsid w:val="005D33EB"/>
    <w:rsid w:val="005D33F8"/>
    <w:rsid w:val="005D35E1"/>
    <w:rsid w:val="005D38E9"/>
    <w:rsid w:val="005D3958"/>
    <w:rsid w:val="005D3F51"/>
    <w:rsid w:val="005D4587"/>
    <w:rsid w:val="005D46E3"/>
    <w:rsid w:val="005D47D6"/>
    <w:rsid w:val="005D4BCF"/>
    <w:rsid w:val="005D4F62"/>
    <w:rsid w:val="005D5109"/>
    <w:rsid w:val="005D53C8"/>
    <w:rsid w:val="005D54CE"/>
    <w:rsid w:val="005D551E"/>
    <w:rsid w:val="005D5637"/>
    <w:rsid w:val="005D56FE"/>
    <w:rsid w:val="005D5FBC"/>
    <w:rsid w:val="005D64F9"/>
    <w:rsid w:val="005D6644"/>
    <w:rsid w:val="005D66FD"/>
    <w:rsid w:val="005D685A"/>
    <w:rsid w:val="005D6B1B"/>
    <w:rsid w:val="005D7012"/>
    <w:rsid w:val="005D7331"/>
    <w:rsid w:val="005D741B"/>
    <w:rsid w:val="005D7656"/>
    <w:rsid w:val="005D76D7"/>
    <w:rsid w:val="005D7B97"/>
    <w:rsid w:val="005D7CA8"/>
    <w:rsid w:val="005D7CC1"/>
    <w:rsid w:val="005D7E2B"/>
    <w:rsid w:val="005D7F12"/>
    <w:rsid w:val="005E01AA"/>
    <w:rsid w:val="005E0383"/>
    <w:rsid w:val="005E0606"/>
    <w:rsid w:val="005E09FA"/>
    <w:rsid w:val="005E0CE3"/>
    <w:rsid w:val="005E0FDF"/>
    <w:rsid w:val="005E1352"/>
    <w:rsid w:val="005E1496"/>
    <w:rsid w:val="005E163E"/>
    <w:rsid w:val="005E1648"/>
    <w:rsid w:val="005E1C84"/>
    <w:rsid w:val="005E1F68"/>
    <w:rsid w:val="005E2019"/>
    <w:rsid w:val="005E2468"/>
    <w:rsid w:val="005E248A"/>
    <w:rsid w:val="005E289E"/>
    <w:rsid w:val="005E2AFD"/>
    <w:rsid w:val="005E2B5F"/>
    <w:rsid w:val="005E2EF1"/>
    <w:rsid w:val="005E3125"/>
    <w:rsid w:val="005E3255"/>
    <w:rsid w:val="005E325F"/>
    <w:rsid w:val="005E3294"/>
    <w:rsid w:val="005E36A6"/>
    <w:rsid w:val="005E373D"/>
    <w:rsid w:val="005E3923"/>
    <w:rsid w:val="005E3AA9"/>
    <w:rsid w:val="005E3C69"/>
    <w:rsid w:val="005E3CA0"/>
    <w:rsid w:val="005E3D01"/>
    <w:rsid w:val="005E3F43"/>
    <w:rsid w:val="005E43E5"/>
    <w:rsid w:val="005E44E5"/>
    <w:rsid w:val="005E4853"/>
    <w:rsid w:val="005E489B"/>
    <w:rsid w:val="005E4AEF"/>
    <w:rsid w:val="005E4B5A"/>
    <w:rsid w:val="005E4BBE"/>
    <w:rsid w:val="005E4D4F"/>
    <w:rsid w:val="005E4EBE"/>
    <w:rsid w:val="005E5373"/>
    <w:rsid w:val="005E5419"/>
    <w:rsid w:val="005E5901"/>
    <w:rsid w:val="005E5A77"/>
    <w:rsid w:val="005E5BCE"/>
    <w:rsid w:val="005E5F40"/>
    <w:rsid w:val="005E5F9E"/>
    <w:rsid w:val="005E60DD"/>
    <w:rsid w:val="005E6163"/>
    <w:rsid w:val="005E618A"/>
    <w:rsid w:val="005E69FB"/>
    <w:rsid w:val="005E6D9C"/>
    <w:rsid w:val="005E6E67"/>
    <w:rsid w:val="005E6F31"/>
    <w:rsid w:val="005E6F74"/>
    <w:rsid w:val="005E7078"/>
    <w:rsid w:val="005E73BC"/>
    <w:rsid w:val="005E73DB"/>
    <w:rsid w:val="005E73DD"/>
    <w:rsid w:val="005E7662"/>
    <w:rsid w:val="005E7705"/>
    <w:rsid w:val="005E77B0"/>
    <w:rsid w:val="005E78D5"/>
    <w:rsid w:val="005E7ACE"/>
    <w:rsid w:val="005E7D21"/>
    <w:rsid w:val="005E7F7E"/>
    <w:rsid w:val="005F0006"/>
    <w:rsid w:val="005F0253"/>
    <w:rsid w:val="005F04AF"/>
    <w:rsid w:val="005F07EB"/>
    <w:rsid w:val="005F0AB0"/>
    <w:rsid w:val="005F0D6A"/>
    <w:rsid w:val="005F0F00"/>
    <w:rsid w:val="005F1653"/>
    <w:rsid w:val="005F1821"/>
    <w:rsid w:val="005F193F"/>
    <w:rsid w:val="005F2301"/>
    <w:rsid w:val="005F2386"/>
    <w:rsid w:val="005F2486"/>
    <w:rsid w:val="005F25FF"/>
    <w:rsid w:val="005F2BC5"/>
    <w:rsid w:val="005F2E99"/>
    <w:rsid w:val="005F3333"/>
    <w:rsid w:val="005F3678"/>
    <w:rsid w:val="005F37E7"/>
    <w:rsid w:val="005F3C39"/>
    <w:rsid w:val="005F42D3"/>
    <w:rsid w:val="005F4313"/>
    <w:rsid w:val="005F459D"/>
    <w:rsid w:val="005F46FD"/>
    <w:rsid w:val="005F4810"/>
    <w:rsid w:val="005F48F0"/>
    <w:rsid w:val="005F4A47"/>
    <w:rsid w:val="005F4ABF"/>
    <w:rsid w:val="005F4F87"/>
    <w:rsid w:val="005F5BCB"/>
    <w:rsid w:val="005F5E6F"/>
    <w:rsid w:val="005F60A2"/>
    <w:rsid w:val="005F66F4"/>
    <w:rsid w:val="005F6988"/>
    <w:rsid w:val="005F6A62"/>
    <w:rsid w:val="005F6E0F"/>
    <w:rsid w:val="005F6F32"/>
    <w:rsid w:val="005F716F"/>
    <w:rsid w:val="005F7586"/>
    <w:rsid w:val="005F76B8"/>
    <w:rsid w:val="005F78C4"/>
    <w:rsid w:val="005F7935"/>
    <w:rsid w:val="005F79CA"/>
    <w:rsid w:val="005F7C6B"/>
    <w:rsid w:val="005F7D8E"/>
    <w:rsid w:val="00600166"/>
    <w:rsid w:val="00600413"/>
    <w:rsid w:val="00600EA1"/>
    <w:rsid w:val="00600F32"/>
    <w:rsid w:val="006013A0"/>
    <w:rsid w:val="00601486"/>
    <w:rsid w:val="006014F0"/>
    <w:rsid w:val="00601544"/>
    <w:rsid w:val="0060209D"/>
    <w:rsid w:val="00602215"/>
    <w:rsid w:val="00602238"/>
    <w:rsid w:val="006022CC"/>
    <w:rsid w:val="006023BB"/>
    <w:rsid w:val="00602685"/>
    <w:rsid w:val="006027CE"/>
    <w:rsid w:val="006032BE"/>
    <w:rsid w:val="006032C1"/>
    <w:rsid w:val="006034F4"/>
    <w:rsid w:val="00603949"/>
    <w:rsid w:val="0060429D"/>
    <w:rsid w:val="0060449D"/>
    <w:rsid w:val="00604558"/>
    <w:rsid w:val="006045E5"/>
    <w:rsid w:val="0060463B"/>
    <w:rsid w:val="00604660"/>
    <w:rsid w:val="006046EC"/>
    <w:rsid w:val="00604D2D"/>
    <w:rsid w:val="00604D6B"/>
    <w:rsid w:val="006051CE"/>
    <w:rsid w:val="00605250"/>
    <w:rsid w:val="006052F4"/>
    <w:rsid w:val="006054B0"/>
    <w:rsid w:val="00605AF9"/>
    <w:rsid w:val="00605C95"/>
    <w:rsid w:val="0060626E"/>
    <w:rsid w:val="00606518"/>
    <w:rsid w:val="00606D91"/>
    <w:rsid w:val="00606E61"/>
    <w:rsid w:val="00606F0A"/>
    <w:rsid w:val="006076B5"/>
    <w:rsid w:val="0060788F"/>
    <w:rsid w:val="0060798B"/>
    <w:rsid w:val="006079AA"/>
    <w:rsid w:val="00607F9F"/>
    <w:rsid w:val="006101DA"/>
    <w:rsid w:val="0061031D"/>
    <w:rsid w:val="006107D9"/>
    <w:rsid w:val="00610C9E"/>
    <w:rsid w:val="00610F83"/>
    <w:rsid w:val="0061123C"/>
    <w:rsid w:val="0061125C"/>
    <w:rsid w:val="00611DB4"/>
    <w:rsid w:val="00611ECD"/>
    <w:rsid w:val="00611F8F"/>
    <w:rsid w:val="006121F3"/>
    <w:rsid w:val="006126F9"/>
    <w:rsid w:val="00613AA5"/>
    <w:rsid w:val="00613AC2"/>
    <w:rsid w:val="00613FAF"/>
    <w:rsid w:val="0061414A"/>
    <w:rsid w:val="006141EF"/>
    <w:rsid w:val="0061454E"/>
    <w:rsid w:val="0061483C"/>
    <w:rsid w:val="006148E1"/>
    <w:rsid w:val="00614AA9"/>
    <w:rsid w:val="006151E7"/>
    <w:rsid w:val="00615291"/>
    <w:rsid w:val="00615370"/>
    <w:rsid w:val="00615A1C"/>
    <w:rsid w:val="00615ED4"/>
    <w:rsid w:val="00615FE0"/>
    <w:rsid w:val="00616129"/>
    <w:rsid w:val="006162AC"/>
    <w:rsid w:val="00616339"/>
    <w:rsid w:val="006164F2"/>
    <w:rsid w:val="0061653D"/>
    <w:rsid w:val="006166B2"/>
    <w:rsid w:val="00616C1E"/>
    <w:rsid w:val="006175D0"/>
    <w:rsid w:val="0061760C"/>
    <w:rsid w:val="00617734"/>
    <w:rsid w:val="00620073"/>
    <w:rsid w:val="00620181"/>
    <w:rsid w:val="006204E4"/>
    <w:rsid w:val="006205A1"/>
    <w:rsid w:val="00620D09"/>
    <w:rsid w:val="00620E2B"/>
    <w:rsid w:val="00620EA0"/>
    <w:rsid w:val="0062111D"/>
    <w:rsid w:val="00621FB4"/>
    <w:rsid w:val="00622091"/>
    <w:rsid w:val="00622348"/>
    <w:rsid w:val="006223CE"/>
    <w:rsid w:val="0062241F"/>
    <w:rsid w:val="00622516"/>
    <w:rsid w:val="00622538"/>
    <w:rsid w:val="00622BA9"/>
    <w:rsid w:val="00622BCF"/>
    <w:rsid w:val="00622BF1"/>
    <w:rsid w:val="00622CCD"/>
    <w:rsid w:val="00622F87"/>
    <w:rsid w:val="006233FC"/>
    <w:rsid w:val="006235A4"/>
    <w:rsid w:val="00623CCE"/>
    <w:rsid w:val="00623FC0"/>
    <w:rsid w:val="006241DD"/>
    <w:rsid w:val="006243F7"/>
    <w:rsid w:val="00624494"/>
    <w:rsid w:val="00624961"/>
    <w:rsid w:val="00624BA5"/>
    <w:rsid w:val="00625480"/>
    <w:rsid w:val="006259A8"/>
    <w:rsid w:val="00625A2E"/>
    <w:rsid w:val="00625B5E"/>
    <w:rsid w:val="00625BBD"/>
    <w:rsid w:val="00625BC7"/>
    <w:rsid w:val="00625CBC"/>
    <w:rsid w:val="00625DDC"/>
    <w:rsid w:val="00625DFF"/>
    <w:rsid w:val="006260BB"/>
    <w:rsid w:val="00626448"/>
    <w:rsid w:val="00626573"/>
    <w:rsid w:val="0062699A"/>
    <w:rsid w:val="0062704B"/>
    <w:rsid w:val="006275E4"/>
    <w:rsid w:val="0062789A"/>
    <w:rsid w:val="006279C1"/>
    <w:rsid w:val="00627EAB"/>
    <w:rsid w:val="006304A0"/>
    <w:rsid w:val="0063065F"/>
    <w:rsid w:val="006317EB"/>
    <w:rsid w:val="006319EB"/>
    <w:rsid w:val="006321F9"/>
    <w:rsid w:val="00632262"/>
    <w:rsid w:val="0063248D"/>
    <w:rsid w:val="006325A3"/>
    <w:rsid w:val="0063283B"/>
    <w:rsid w:val="00632892"/>
    <w:rsid w:val="00632EB5"/>
    <w:rsid w:val="00632EC8"/>
    <w:rsid w:val="00632FAC"/>
    <w:rsid w:val="00633103"/>
    <w:rsid w:val="0063354B"/>
    <w:rsid w:val="006339BA"/>
    <w:rsid w:val="00633A86"/>
    <w:rsid w:val="00633B63"/>
    <w:rsid w:val="00633D76"/>
    <w:rsid w:val="00633E1A"/>
    <w:rsid w:val="00633EE0"/>
    <w:rsid w:val="00633F74"/>
    <w:rsid w:val="0063448B"/>
    <w:rsid w:val="00634A88"/>
    <w:rsid w:val="00634BF2"/>
    <w:rsid w:val="0063557D"/>
    <w:rsid w:val="00635658"/>
    <w:rsid w:val="006358AF"/>
    <w:rsid w:val="0063591E"/>
    <w:rsid w:val="006359EA"/>
    <w:rsid w:val="00635D4F"/>
    <w:rsid w:val="00635E35"/>
    <w:rsid w:val="00635E65"/>
    <w:rsid w:val="00635EEE"/>
    <w:rsid w:val="006367E0"/>
    <w:rsid w:val="00636BED"/>
    <w:rsid w:val="00636F04"/>
    <w:rsid w:val="006371EE"/>
    <w:rsid w:val="00637785"/>
    <w:rsid w:val="00637911"/>
    <w:rsid w:val="006400C5"/>
    <w:rsid w:val="00640119"/>
    <w:rsid w:val="00640224"/>
    <w:rsid w:val="0064022B"/>
    <w:rsid w:val="006405D3"/>
    <w:rsid w:val="00640994"/>
    <w:rsid w:val="006410BC"/>
    <w:rsid w:val="006410E0"/>
    <w:rsid w:val="00641616"/>
    <w:rsid w:val="006418E5"/>
    <w:rsid w:val="00641FD8"/>
    <w:rsid w:val="00641FE8"/>
    <w:rsid w:val="006426DB"/>
    <w:rsid w:val="0064270F"/>
    <w:rsid w:val="00642801"/>
    <w:rsid w:val="00642802"/>
    <w:rsid w:val="00642B1B"/>
    <w:rsid w:val="00642C51"/>
    <w:rsid w:val="00642CAF"/>
    <w:rsid w:val="00642E6A"/>
    <w:rsid w:val="00642E89"/>
    <w:rsid w:val="00643101"/>
    <w:rsid w:val="006433AA"/>
    <w:rsid w:val="006434A6"/>
    <w:rsid w:val="006434DB"/>
    <w:rsid w:val="00643C2D"/>
    <w:rsid w:val="00643E57"/>
    <w:rsid w:val="00644073"/>
    <w:rsid w:val="00644AA0"/>
    <w:rsid w:val="00644B88"/>
    <w:rsid w:val="00644BDF"/>
    <w:rsid w:val="00644F66"/>
    <w:rsid w:val="00645145"/>
    <w:rsid w:val="0064548C"/>
    <w:rsid w:val="00645B5D"/>
    <w:rsid w:val="00645FC3"/>
    <w:rsid w:val="00645FC8"/>
    <w:rsid w:val="006460AB"/>
    <w:rsid w:val="00646141"/>
    <w:rsid w:val="00646741"/>
    <w:rsid w:val="0064681D"/>
    <w:rsid w:val="006468FA"/>
    <w:rsid w:val="00646986"/>
    <w:rsid w:val="00646F37"/>
    <w:rsid w:val="00647059"/>
    <w:rsid w:val="00647715"/>
    <w:rsid w:val="00647833"/>
    <w:rsid w:val="0064790F"/>
    <w:rsid w:val="0064796E"/>
    <w:rsid w:val="00647DC1"/>
    <w:rsid w:val="00650323"/>
    <w:rsid w:val="00650630"/>
    <w:rsid w:val="00650820"/>
    <w:rsid w:val="0065129B"/>
    <w:rsid w:val="006513A4"/>
    <w:rsid w:val="006514B4"/>
    <w:rsid w:val="00651552"/>
    <w:rsid w:val="006515BE"/>
    <w:rsid w:val="006516D6"/>
    <w:rsid w:val="00651BDA"/>
    <w:rsid w:val="00651D0E"/>
    <w:rsid w:val="00651DD8"/>
    <w:rsid w:val="00651F1D"/>
    <w:rsid w:val="00652208"/>
    <w:rsid w:val="006523BB"/>
    <w:rsid w:val="00652D12"/>
    <w:rsid w:val="006531C8"/>
    <w:rsid w:val="006532F7"/>
    <w:rsid w:val="006533ED"/>
    <w:rsid w:val="006534A5"/>
    <w:rsid w:val="006535ED"/>
    <w:rsid w:val="00653600"/>
    <w:rsid w:val="00653753"/>
    <w:rsid w:val="006538FD"/>
    <w:rsid w:val="00653D29"/>
    <w:rsid w:val="00653DD4"/>
    <w:rsid w:val="00653E2D"/>
    <w:rsid w:val="00653FD3"/>
    <w:rsid w:val="006540B0"/>
    <w:rsid w:val="006540DA"/>
    <w:rsid w:val="006549FA"/>
    <w:rsid w:val="00654C1C"/>
    <w:rsid w:val="00654EEF"/>
    <w:rsid w:val="00655935"/>
    <w:rsid w:val="00655E99"/>
    <w:rsid w:val="00655EF0"/>
    <w:rsid w:val="006562A7"/>
    <w:rsid w:val="0065638B"/>
    <w:rsid w:val="006563EA"/>
    <w:rsid w:val="006566C4"/>
    <w:rsid w:val="0065689A"/>
    <w:rsid w:val="00656BF5"/>
    <w:rsid w:val="00656D1C"/>
    <w:rsid w:val="006570F2"/>
    <w:rsid w:val="0065718F"/>
    <w:rsid w:val="0065774B"/>
    <w:rsid w:val="00657AE7"/>
    <w:rsid w:val="00657BC3"/>
    <w:rsid w:val="00657DBB"/>
    <w:rsid w:val="00657EB8"/>
    <w:rsid w:val="006601B0"/>
    <w:rsid w:val="006602E5"/>
    <w:rsid w:val="00660415"/>
    <w:rsid w:val="00660564"/>
    <w:rsid w:val="00660743"/>
    <w:rsid w:val="00660803"/>
    <w:rsid w:val="006609E3"/>
    <w:rsid w:val="00660BBB"/>
    <w:rsid w:val="0066102A"/>
    <w:rsid w:val="00661466"/>
    <w:rsid w:val="006615DD"/>
    <w:rsid w:val="0066180F"/>
    <w:rsid w:val="00661825"/>
    <w:rsid w:val="00661915"/>
    <w:rsid w:val="00661B75"/>
    <w:rsid w:val="00661FF9"/>
    <w:rsid w:val="0066202E"/>
    <w:rsid w:val="00662125"/>
    <w:rsid w:val="00662265"/>
    <w:rsid w:val="006622D2"/>
    <w:rsid w:val="006622ED"/>
    <w:rsid w:val="006626F4"/>
    <w:rsid w:val="00662C7D"/>
    <w:rsid w:val="00663F33"/>
    <w:rsid w:val="00663FFD"/>
    <w:rsid w:val="0066450A"/>
    <w:rsid w:val="006646F0"/>
    <w:rsid w:val="00664701"/>
    <w:rsid w:val="006649C0"/>
    <w:rsid w:val="00664A4E"/>
    <w:rsid w:val="00664DAB"/>
    <w:rsid w:val="00665063"/>
    <w:rsid w:val="00665217"/>
    <w:rsid w:val="0066530F"/>
    <w:rsid w:val="00665568"/>
    <w:rsid w:val="006655FB"/>
    <w:rsid w:val="006656AB"/>
    <w:rsid w:val="00665AF9"/>
    <w:rsid w:val="00665E8F"/>
    <w:rsid w:val="00666046"/>
    <w:rsid w:val="0066652C"/>
    <w:rsid w:val="00666679"/>
    <w:rsid w:val="006666DE"/>
    <w:rsid w:val="006667BA"/>
    <w:rsid w:val="00666826"/>
    <w:rsid w:val="00666BD1"/>
    <w:rsid w:val="00666EB2"/>
    <w:rsid w:val="00666F6F"/>
    <w:rsid w:val="006676DE"/>
    <w:rsid w:val="0066786B"/>
    <w:rsid w:val="006678A5"/>
    <w:rsid w:val="00667CB1"/>
    <w:rsid w:val="00667E9F"/>
    <w:rsid w:val="00670864"/>
    <w:rsid w:val="00670BFA"/>
    <w:rsid w:val="00671C25"/>
    <w:rsid w:val="00671DB1"/>
    <w:rsid w:val="006720F1"/>
    <w:rsid w:val="00672248"/>
    <w:rsid w:val="00672381"/>
    <w:rsid w:val="00672639"/>
    <w:rsid w:val="006726BB"/>
    <w:rsid w:val="00672818"/>
    <w:rsid w:val="00672AE9"/>
    <w:rsid w:val="006731E0"/>
    <w:rsid w:val="006739B1"/>
    <w:rsid w:val="00673A34"/>
    <w:rsid w:val="00673CA3"/>
    <w:rsid w:val="00673D28"/>
    <w:rsid w:val="006740FE"/>
    <w:rsid w:val="0067457F"/>
    <w:rsid w:val="0067459C"/>
    <w:rsid w:val="006746AD"/>
    <w:rsid w:val="00674839"/>
    <w:rsid w:val="00674FD7"/>
    <w:rsid w:val="006752E0"/>
    <w:rsid w:val="00675839"/>
    <w:rsid w:val="006759A6"/>
    <w:rsid w:val="00675BF8"/>
    <w:rsid w:val="00676223"/>
    <w:rsid w:val="0067623B"/>
    <w:rsid w:val="00676288"/>
    <w:rsid w:val="0067645E"/>
    <w:rsid w:val="0067652E"/>
    <w:rsid w:val="00676744"/>
    <w:rsid w:val="0067722C"/>
    <w:rsid w:val="00677270"/>
    <w:rsid w:val="006779F7"/>
    <w:rsid w:val="00677AEB"/>
    <w:rsid w:val="00677B13"/>
    <w:rsid w:val="00677B87"/>
    <w:rsid w:val="00680168"/>
    <w:rsid w:val="006802A9"/>
    <w:rsid w:val="006803C8"/>
    <w:rsid w:val="00680775"/>
    <w:rsid w:val="00680877"/>
    <w:rsid w:val="006809C1"/>
    <w:rsid w:val="00680A8C"/>
    <w:rsid w:val="00680F50"/>
    <w:rsid w:val="00680FAC"/>
    <w:rsid w:val="0068126C"/>
    <w:rsid w:val="00681479"/>
    <w:rsid w:val="00681481"/>
    <w:rsid w:val="006815F7"/>
    <w:rsid w:val="00681661"/>
    <w:rsid w:val="00681944"/>
    <w:rsid w:val="006819A3"/>
    <w:rsid w:val="00681A59"/>
    <w:rsid w:val="00681B6E"/>
    <w:rsid w:val="00681EA5"/>
    <w:rsid w:val="00681F85"/>
    <w:rsid w:val="006820CB"/>
    <w:rsid w:val="006824FC"/>
    <w:rsid w:val="00682645"/>
    <w:rsid w:val="0068279E"/>
    <w:rsid w:val="006831FC"/>
    <w:rsid w:val="0068357D"/>
    <w:rsid w:val="00683698"/>
    <w:rsid w:val="00683858"/>
    <w:rsid w:val="00683AC6"/>
    <w:rsid w:val="00683AEB"/>
    <w:rsid w:val="00683F81"/>
    <w:rsid w:val="0068412F"/>
    <w:rsid w:val="0068423E"/>
    <w:rsid w:val="006842C0"/>
    <w:rsid w:val="006842C6"/>
    <w:rsid w:val="00684471"/>
    <w:rsid w:val="00684519"/>
    <w:rsid w:val="00684B04"/>
    <w:rsid w:val="006850DA"/>
    <w:rsid w:val="00685140"/>
    <w:rsid w:val="00685C43"/>
    <w:rsid w:val="006862EE"/>
    <w:rsid w:val="0068642C"/>
    <w:rsid w:val="00686473"/>
    <w:rsid w:val="006866B8"/>
    <w:rsid w:val="00686AC0"/>
    <w:rsid w:val="00686AEC"/>
    <w:rsid w:val="00686D66"/>
    <w:rsid w:val="00686E0B"/>
    <w:rsid w:val="00687168"/>
    <w:rsid w:val="006871C9"/>
    <w:rsid w:val="00687283"/>
    <w:rsid w:val="0068738C"/>
    <w:rsid w:val="0068746F"/>
    <w:rsid w:val="00687605"/>
    <w:rsid w:val="00687767"/>
    <w:rsid w:val="006877A2"/>
    <w:rsid w:val="006877BE"/>
    <w:rsid w:val="006878A5"/>
    <w:rsid w:val="00687942"/>
    <w:rsid w:val="00687F43"/>
    <w:rsid w:val="0069015A"/>
    <w:rsid w:val="0069020F"/>
    <w:rsid w:val="00690260"/>
    <w:rsid w:val="00690E2C"/>
    <w:rsid w:val="00690F00"/>
    <w:rsid w:val="00691131"/>
    <w:rsid w:val="006915C0"/>
    <w:rsid w:val="00691A80"/>
    <w:rsid w:val="00691B11"/>
    <w:rsid w:val="00691CA3"/>
    <w:rsid w:val="00691DE7"/>
    <w:rsid w:val="0069248F"/>
    <w:rsid w:val="00692B24"/>
    <w:rsid w:val="00692E13"/>
    <w:rsid w:val="00692F2C"/>
    <w:rsid w:val="0069359F"/>
    <w:rsid w:val="00693694"/>
    <w:rsid w:val="00693770"/>
    <w:rsid w:val="006937EE"/>
    <w:rsid w:val="00693B6C"/>
    <w:rsid w:val="006940E4"/>
    <w:rsid w:val="0069439A"/>
    <w:rsid w:val="0069451E"/>
    <w:rsid w:val="0069452D"/>
    <w:rsid w:val="00694607"/>
    <w:rsid w:val="00694753"/>
    <w:rsid w:val="00694A65"/>
    <w:rsid w:val="00695065"/>
    <w:rsid w:val="006951B2"/>
    <w:rsid w:val="00695395"/>
    <w:rsid w:val="006953B3"/>
    <w:rsid w:val="006953B6"/>
    <w:rsid w:val="006955EE"/>
    <w:rsid w:val="006958E7"/>
    <w:rsid w:val="00695D48"/>
    <w:rsid w:val="00696103"/>
    <w:rsid w:val="00696456"/>
    <w:rsid w:val="00696933"/>
    <w:rsid w:val="00696BAC"/>
    <w:rsid w:val="006970A2"/>
    <w:rsid w:val="006977FB"/>
    <w:rsid w:val="00697831"/>
    <w:rsid w:val="006A018A"/>
    <w:rsid w:val="006A0330"/>
    <w:rsid w:val="006A0592"/>
    <w:rsid w:val="006A06E0"/>
    <w:rsid w:val="006A07CD"/>
    <w:rsid w:val="006A0A4F"/>
    <w:rsid w:val="006A0F33"/>
    <w:rsid w:val="006A10E7"/>
    <w:rsid w:val="006A1471"/>
    <w:rsid w:val="006A1561"/>
    <w:rsid w:val="006A19ED"/>
    <w:rsid w:val="006A1B6C"/>
    <w:rsid w:val="006A1F62"/>
    <w:rsid w:val="006A218B"/>
    <w:rsid w:val="006A2344"/>
    <w:rsid w:val="006A2408"/>
    <w:rsid w:val="006A2855"/>
    <w:rsid w:val="006A29FC"/>
    <w:rsid w:val="006A2C5B"/>
    <w:rsid w:val="006A2DFA"/>
    <w:rsid w:val="006A2E0C"/>
    <w:rsid w:val="006A2E6C"/>
    <w:rsid w:val="006A2F1B"/>
    <w:rsid w:val="006A3A64"/>
    <w:rsid w:val="006A3C9C"/>
    <w:rsid w:val="006A3D67"/>
    <w:rsid w:val="006A41C3"/>
    <w:rsid w:val="006A45A8"/>
    <w:rsid w:val="006A460E"/>
    <w:rsid w:val="006A4BF6"/>
    <w:rsid w:val="006A4C77"/>
    <w:rsid w:val="006A4F4C"/>
    <w:rsid w:val="006A5223"/>
    <w:rsid w:val="006A55E8"/>
    <w:rsid w:val="006A5A20"/>
    <w:rsid w:val="006A5B06"/>
    <w:rsid w:val="006A5B55"/>
    <w:rsid w:val="006A5F7D"/>
    <w:rsid w:val="006A6254"/>
    <w:rsid w:val="006A6523"/>
    <w:rsid w:val="006A6636"/>
    <w:rsid w:val="006A69F1"/>
    <w:rsid w:val="006A6A7D"/>
    <w:rsid w:val="006A6AA2"/>
    <w:rsid w:val="006A6D73"/>
    <w:rsid w:val="006A6E10"/>
    <w:rsid w:val="006A7583"/>
    <w:rsid w:val="006A7823"/>
    <w:rsid w:val="006A7F84"/>
    <w:rsid w:val="006B0077"/>
    <w:rsid w:val="006B0118"/>
    <w:rsid w:val="006B046F"/>
    <w:rsid w:val="006B064C"/>
    <w:rsid w:val="006B0667"/>
    <w:rsid w:val="006B0BF4"/>
    <w:rsid w:val="006B0E6D"/>
    <w:rsid w:val="006B1289"/>
    <w:rsid w:val="006B1A81"/>
    <w:rsid w:val="006B1C87"/>
    <w:rsid w:val="006B1E35"/>
    <w:rsid w:val="006B201F"/>
    <w:rsid w:val="006B2384"/>
    <w:rsid w:val="006B24EA"/>
    <w:rsid w:val="006B2AC4"/>
    <w:rsid w:val="006B3084"/>
    <w:rsid w:val="006B3388"/>
    <w:rsid w:val="006B3437"/>
    <w:rsid w:val="006B382A"/>
    <w:rsid w:val="006B38F0"/>
    <w:rsid w:val="006B4441"/>
    <w:rsid w:val="006B455A"/>
    <w:rsid w:val="006B4FD2"/>
    <w:rsid w:val="006B5179"/>
    <w:rsid w:val="006B5D43"/>
    <w:rsid w:val="006B607B"/>
    <w:rsid w:val="006B6352"/>
    <w:rsid w:val="006B645C"/>
    <w:rsid w:val="006B7314"/>
    <w:rsid w:val="006B7ACB"/>
    <w:rsid w:val="006B7D92"/>
    <w:rsid w:val="006B7DD2"/>
    <w:rsid w:val="006B7FD8"/>
    <w:rsid w:val="006C0085"/>
    <w:rsid w:val="006C0364"/>
    <w:rsid w:val="006C070B"/>
    <w:rsid w:val="006C0801"/>
    <w:rsid w:val="006C0BED"/>
    <w:rsid w:val="006C0C12"/>
    <w:rsid w:val="006C0DB8"/>
    <w:rsid w:val="006C0E98"/>
    <w:rsid w:val="006C0F83"/>
    <w:rsid w:val="006C1147"/>
    <w:rsid w:val="006C172D"/>
    <w:rsid w:val="006C196C"/>
    <w:rsid w:val="006C1D70"/>
    <w:rsid w:val="006C217D"/>
    <w:rsid w:val="006C2216"/>
    <w:rsid w:val="006C26E7"/>
    <w:rsid w:val="006C2FB1"/>
    <w:rsid w:val="006C3546"/>
    <w:rsid w:val="006C3A12"/>
    <w:rsid w:val="006C3C18"/>
    <w:rsid w:val="006C3D4C"/>
    <w:rsid w:val="006C3E21"/>
    <w:rsid w:val="006C459A"/>
    <w:rsid w:val="006C46E6"/>
    <w:rsid w:val="006C46F1"/>
    <w:rsid w:val="006C4A73"/>
    <w:rsid w:val="006C4CA7"/>
    <w:rsid w:val="006C4DF9"/>
    <w:rsid w:val="006C50BA"/>
    <w:rsid w:val="006C50E1"/>
    <w:rsid w:val="006C535C"/>
    <w:rsid w:val="006C5579"/>
    <w:rsid w:val="006C55A4"/>
    <w:rsid w:val="006C594A"/>
    <w:rsid w:val="006C597D"/>
    <w:rsid w:val="006C5BFD"/>
    <w:rsid w:val="006C5DAA"/>
    <w:rsid w:val="006C5FE9"/>
    <w:rsid w:val="006C60DE"/>
    <w:rsid w:val="006C62B7"/>
    <w:rsid w:val="006C691A"/>
    <w:rsid w:val="006C6AF1"/>
    <w:rsid w:val="006C6BEE"/>
    <w:rsid w:val="006C6D46"/>
    <w:rsid w:val="006C6F5C"/>
    <w:rsid w:val="006C7010"/>
    <w:rsid w:val="006C7143"/>
    <w:rsid w:val="006C73F0"/>
    <w:rsid w:val="006C7405"/>
    <w:rsid w:val="006C7491"/>
    <w:rsid w:val="006C7BEC"/>
    <w:rsid w:val="006C7DCB"/>
    <w:rsid w:val="006C7ECB"/>
    <w:rsid w:val="006C7ECF"/>
    <w:rsid w:val="006C7F6E"/>
    <w:rsid w:val="006D00CB"/>
    <w:rsid w:val="006D03FE"/>
    <w:rsid w:val="006D0566"/>
    <w:rsid w:val="006D05AC"/>
    <w:rsid w:val="006D089C"/>
    <w:rsid w:val="006D0959"/>
    <w:rsid w:val="006D09D5"/>
    <w:rsid w:val="006D0F2F"/>
    <w:rsid w:val="006D0F3D"/>
    <w:rsid w:val="006D120F"/>
    <w:rsid w:val="006D1244"/>
    <w:rsid w:val="006D159C"/>
    <w:rsid w:val="006D160A"/>
    <w:rsid w:val="006D16CE"/>
    <w:rsid w:val="006D1ED2"/>
    <w:rsid w:val="006D20BE"/>
    <w:rsid w:val="006D286A"/>
    <w:rsid w:val="006D28AC"/>
    <w:rsid w:val="006D28F0"/>
    <w:rsid w:val="006D2E2D"/>
    <w:rsid w:val="006D3163"/>
    <w:rsid w:val="006D33A6"/>
    <w:rsid w:val="006D35B8"/>
    <w:rsid w:val="006D383D"/>
    <w:rsid w:val="006D3A5F"/>
    <w:rsid w:val="006D3CDD"/>
    <w:rsid w:val="006D3E3D"/>
    <w:rsid w:val="006D444A"/>
    <w:rsid w:val="006D4614"/>
    <w:rsid w:val="006D466D"/>
    <w:rsid w:val="006D4735"/>
    <w:rsid w:val="006D47F6"/>
    <w:rsid w:val="006D4A2E"/>
    <w:rsid w:val="006D4C3D"/>
    <w:rsid w:val="006D5438"/>
    <w:rsid w:val="006D5A2B"/>
    <w:rsid w:val="006D5E6E"/>
    <w:rsid w:val="006D687D"/>
    <w:rsid w:val="006D6E01"/>
    <w:rsid w:val="006D7344"/>
    <w:rsid w:val="006D787E"/>
    <w:rsid w:val="006D7A7C"/>
    <w:rsid w:val="006D7B97"/>
    <w:rsid w:val="006D7DAF"/>
    <w:rsid w:val="006D7E65"/>
    <w:rsid w:val="006E01D5"/>
    <w:rsid w:val="006E02DB"/>
    <w:rsid w:val="006E07D1"/>
    <w:rsid w:val="006E07D5"/>
    <w:rsid w:val="006E0873"/>
    <w:rsid w:val="006E08EF"/>
    <w:rsid w:val="006E095E"/>
    <w:rsid w:val="006E0F07"/>
    <w:rsid w:val="006E0FB8"/>
    <w:rsid w:val="006E1007"/>
    <w:rsid w:val="006E13DC"/>
    <w:rsid w:val="006E17AC"/>
    <w:rsid w:val="006E1801"/>
    <w:rsid w:val="006E1FD6"/>
    <w:rsid w:val="006E24F1"/>
    <w:rsid w:val="006E2532"/>
    <w:rsid w:val="006E2882"/>
    <w:rsid w:val="006E28A2"/>
    <w:rsid w:val="006E290B"/>
    <w:rsid w:val="006E2AD6"/>
    <w:rsid w:val="006E2B8D"/>
    <w:rsid w:val="006E2C7A"/>
    <w:rsid w:val="006E2C84"/>
    <w:rsid w:val="006E2FA2"/>
    <w:rsid w:val="006E3121"/>
    <w:rsid w:val="006E3195"/>
    <w:rsid w:val="006E33F4"/>
    <w:rsid w:val="006E362E"/>
    <w:rsid w:val="006E39FB"/>
    <w:rsid w:val="006E3C54"/>
    <w:rsid w:val="006E4455"/>
    <w:rsid w:val="006E45FC"/>
    <w:rsid w:val="006E4999"/>
    <w:rsid w:val="006E4A72"/>
    <w:rsid w:val="006E4BDA"/>
    <w:rsid w:val="006E4CF6"/>
    <w:rsid w:val="006E4F68"/>
    <w:rsid w:val="006E5020"/>
    <w:rsid w:val="006E5100"/>
    <w:rsid w:val="006E510C"/>
    <w:rsid w:val="006E53E3"/>
    <w:rsid w:val="006E54E0"/>
    <w:rsid w:val="006E56CC"/>
    <w:rsid w:val="006E5D69"/>
    <w:rsid w:val="006E5F02"/>
    <w:rsid w:val="006E6311"/>
    <w:rsid w:val="006E645D"/>
    <w:rsid w:val="006E65C7"/>
    <w:rsid w:val="006E6943"/>
    <w:rsid w:val="006E6A7F"/>
    <w:rsid w:val="006E6E92"/>
    <w:rsid w:val="006E7031"/>
    <w:rsid w:val="006E75E8"/>
    <w:rsid w:val="006E778D"/>
    <w:rsid w:val="006E7904"/>
    <w:rsid w:val="006E7F5E"/>
    <w:rsid w:val="006F0144"/>
    <w:rsid w:val="006F037C"/>
    <w:rsid w:val="006F0852"/>
    <w:rsid w:val="006F0CEF"/>
    <w:rsid w:val="006F0D25"/>
    <w:rsid w:val="006F0E02"/>
    <w:rsid w:val="006F12F4"/>
    <w:rsid w:val="006F12FE"/>
    <w:rsid w:val="006F1480"/>
    <w:rsid w:val="006F1772"/>
    <w:rsid w:val="006F1818"/>
    <w:rsid w:val="006F1AFB"/>
    <w:rsid w:val="006F2179"/>
    <w:rsid w:val="006F2780"/>
    <w:rsid w:val="006F29EC"/>
    <w:rsid w:val="006F2A32"/>
    <w:rsid w:val="006F2D34"/>
    <w:rsid w:val="006F3105"/>
    <w:rsid w:val="006F339D"/>
    <w:rsid w:val="006F3583"/>
    <w:rsid w:val="006F36FA"/>
    <w:rsid w:val="006F4131"/>
    <w:rsid w:val="006F4325"/>
    <w:rsid w:val="006F4361"/>
    <w:rsid w:val="006F44D7"/>
    <w:rsid w:val="006F4644"/>
    <w:rsid w:val="006F4D1C"/>
    <w:rsid w:val="006F4EB0"/>
    <w:rsid w:val="006F4F1F"/>
    <w:rsid w:val="006F4F76"/>
    <w:rsid w:val="006F519F"/>
    <w:rsid w:val="006F5226"/>
    <w:rsid w:val="006F54B8"/>
    <w:rsid w:val="006F57F6"/>
    <w:rsid w:val="006F59E6"/>
    <w:rsid w:val="006F5BB1"/>
    <w:rsid w:val="006F5FE5"/>
    <w:rsid w:val="006F610F"/>
    <w:rsid w:val="006F6222"/>
    <w:rsid w:val="006F6325"/>
    <w:rsid w:val="006F64D2"/>
    <w:rsid w:val="006F66D5"/>
    <w:rsid w:val="006F6A27"/>
    <w:rsid w:val="006F709B"/>
    <w:rsid w:val="006F7266"/>
    <w:rsid w:val="006F7719"/>
    <w:rsid w:val="006F77A3"/>
    <w:rsid w:val="006F785E"/>
    <w:rsid w:val="006F7B88"/>
    <w:rsid w:val="006F7F24"/>
    <w:rsid w:val="007000C4"/>
    <w:rsid w:val="007005C2"/>
    <w:rsid w:val="007005F9"/>
    <w:rsid w:val="007008EE"/>
    <w:rsid w:val="00700DF8"/>
    <w:rsid w:val="00701139"/>
    <w:rsid w:val="00701750"/>
    <w:rsid w:val="007021C5"/>
    <w:rsid w:val="007023EC"/>
    <w:rsid w:val="0070256D"/>
    <w:rsid w:val="00702758"/>
    <w:rsid w:val="007027EA"/>
    <w:rsid w:val="007027FA"/>
    <w:rsid w:val="00702ABB"/>
    <w:rsid w:val="0070335E"/>
    <w:rsid w:val="0070356A"/>
    <w:rsid w:val="00703594"/>
    <w:rsid w:val="0070359D"/>
    <w:rsid w:val="0070362A"/>
    <w:rsid w:val="00703A63"/>
    <w:rsid w:val="00703B4C"/>
    <w:rsid w:val="007047B9"/>
    <w:rsid w:val="00704862"/>
    <w:rsid w:val="00704DA1"/>
    <w:rsid w:val="00704FC4"/>
    <w:rsid w:val="00705695"/>
    <w:rsid w:val="007057CC"/>
    <w:rsid w:val="00705848"/>
    <w:rsid w:val="007058F7"/>
    <w:rsid w:val="00705AA0"/>
    <w:rsid w:val="00705AE0"/>
    <w:rsid w:val="00705C04"/>
    <w:rsid w:val="00705D97"/>
    <w:rsid w:val="00705E1F"/>
    <w:rsid w:val="007061E4"/>
    <w:rsid w:val="007062BB"/>
    <w:rsid w:val="007064A3"/>
    <w:rsid w:val="007064D7"/>
    <w:rsid w:val="007068BB"/>
    <w:rsid w:val="00706B9C"/>
    <w:rsid w:val="007070D4"/>
    <w:rsid w:val="0070735A"/>
    <w:rsid w:val="0070755C"/>
    <w:rsid w:val="00707598"/>
    <w:rsid w:val="00707827"/>
    <w:rsid w:val="00707B1D"/>
    <w:rsid w:val="00707DE5"/>
    <w:rsid w:val="00710452"/>
    <w:rsid w:val="007105B1"/>
    <w:rsid w:val="007107D5"/>
    <w:rsid w:val="00710A7C"/>
    <w:rsid w:val="00710CFD"/>
    <w:rsid w:val="00710D2E"/>
    <w:rsid w:val="00710DAF"/>
    <w:rsid w:val="0071110A"/>
    <w:rsid w:val="0071110B"/>
    <w:rsid w:val="00711134"/>
    <w:rsid w:val="007111C4"/>
    <w:rsid w:val="007116AA"/>
    <w:rsid w:val="00711740"/>
    <w:rsid w:val="00711A7F"/>
    <w:rsid w:val="00711D72"/>
    <w:rsid w:val="00712005"/>
    <w:rsid w:val="007127FD"/>
    <w:rsid w:val="00712ADE"/>
    <w:rsid w:val="00712C12"/>
    <w:rsid w:val="00712D1E"/>
    <w:rsid w:val="0071311D"/>
    <w:rsid w:val="0071324F"/>
    <w:rsid w:val="00713439"/>
    <w:rsid w:val="00713942"/>
    <w:rsid w:val="00713D28"/>
    <w:rsid w:val="00713E9A"/>
    <w:rsid w:val="007146BC"/>
    <w:rsid w:val="00714771"/>
    <w:rsid w:val="007147BD"/>
    <w:rsid w:val="007147BF"/>
    <w:rsid w:val="00714978"/>
    <w:rsid w:val="00714FE2"/>
    <w:rsid w:val="00715059"/>
    <w:rsid w:val="0071516E"/>
    <w:rsid w:val="007157DC"/>
    <w:rsid w:val="007158BA"/>
    <w:rsid w:val="007159E4"/>
    <w:rsid w:val="00715DE1"/>
    <w:rsid w:val="00716188"/>
    <w:rsid w:val="0071634A"/>
    <w:rsid w:val="0071645E"/>
    <w:rsid w:val="0071659F"/>
    <w:rsid w:val="00716D76"/>
    <w:rsid w:val="00717159"/>
    <w:rsid w:val="00717296"/>
    <w:rsid w:val="00717391"/>
    <w:rsid w:val="00717751"/>
    <w:rsid w:val="007177A7"/>
    <w:rsid w:val="00717A96"/>
    <w:rsid w:val="00717B9F"/>
    <w:rsid w:val="00717C0B"/>
    <w:rsid w:val="00717D7E"/>
    <w:rsid w:val="00717DCC"/>
    <w:rsid w:val="00717E55"/>
    <w:rsid w:val="0072014E"/>
    <w:rsid w:val="007201A4"/>
    <w:rsid w:val="0072042F"/>
    <w:rsid w:val="0072048C"/>
    <w:rsid w:val="00720811"/>
    <w:rsid w:val="007208AC"/>
    <w:rsid w:val="00720E13"/>
    <w:rsid w:val="007211A6"/>
    <w:rsid w:val="0072189A"/>
    <w:rsid w:val="00722135"/>
    <w:rsid w:val="00722666"/>
    <w:rsid w:val="00722709"/>
    <w:rsid w:val="0072297C"/>
    <w:rsid w:val="00722D01"/>
    <w:rsid w:val="00722D8F"/>
    <w:rsid w:val="00722FB9"/>
    <w:rsid w:val="007231E8"/>
    <w:rsid w:val="00723246"/>
    <w:rsid w:val="007232E7"/>
    <w:rsid w:val="00723BFE"/>
    <w:rsid w:val="00723C21"/>
    <w:rsid w:val="00723D25"/>
    <w:rsid w:val="007244B0"/>
    <w:rsid w:val="0072461F"/>
    <w:rsid w:val="007246A1"/>
    <w:rsid w:val="00724892"/>
    <w:rsid w:val="0072504F"/>
    <w:rsid w:val="00725586"/>
    <w:rsid w:val="00725695"/>
    <w:rsid w:val="007258EB"/>
    <w:rsid w:val="00725FA0"/>
    <w:rsid w:val="0072623B"/>
    <w:rsid w:val="00726356"/>
    <w:rsid w:val="007263F9"/>
    <w:rsid w:val="00726462"/>
    <w:rsid w:val="007266CB"/>
    <w:rsid w:val="007266FE"/>
    <w:rsid w:val="0072672A"/>
    <w:rsid w:val="00726B98"/>
    <w:rsid w:val="00726E07"/>
    <w:rsid w:val="00726F87"/>
    <w:rsid w:val="007275AA"/>
    <w:rsid w:val="007278DA"/>
    <w:rsid w:val="00727AD6"/>
    <w:rsid w:val="00727B9F"/>
    <w:rsid w:val="00727F69"/>
    <w:rsid w:val="007308B4"/>
    <w:rsid w:val="00730C0C"/>
    <w:rsid w:val="00730C64"/>
    <w:rsid w:val="00730C70"/>
    <w:rsid w:val="00730EEE"/>
    <w:rsid w:val="00730F70"/>
    <w:rsid w:val="007312D2"/>
    <w:rsid w:val="0073138A"/>
    <w:rsid w:val="00731C42"/>
    <w:rsid w:val="00731C8F"/>
    <w:rsid w:val="00731CAE"/>
    <w:rsid w:val="0073215C"/>
    <w:rsid w:val="00732373"/>
    <w:rsid w:val="0073243C"/>
    <w:rsid w:val="0073281D"/>
    <w:rsid w:val="00732B72"/>
    <w:rsid w:val="00732EB3"/>
    <w:rsid w:val="007333CF"/>
    <w:rsid w:val="00733515"/>
    <w:rsid w:val="00733542"/>
    <w:rsid w:val="00733602"/>
    <w:rsid w:val="00733751"/>
    <w:rsid w:val="00733A66"/>
    <w:rsid w:val="00733B47"/>
    <w:rsid w:val="00733CB6"/>
    <w:rsid w:val="00733F40"/>
    <w:rsid w:val="007343C7"/>
    <w:rsid w:val="007344F4"/>
    <w:rsid w:val="00734721"/>
    <w:rsid w:val="00734E3A"/>
    <w:rsid w:val="0073509D"/>
    <w:rsid w:val="0073586C"/>
    <w:rsid w:val="007358AA"/>
    <w:rsid w:val="00735BAB"/>
    <w:rsid w:val="00736011"/>
    <w:rsid w:val="00736267"/>
    <w:rsid w:val="00736790"/>
    <w:rsid w:val="00736E7A"/>
    <w:rsid w:val="0073708E"/>
    <w:rsid w:val="007372C0"/>
    <w:rsid w:val="00737351"/>
    <w:rsid w:val="00737628"/>
    <w:rsid w:val="007378EA"/>
    <w:rsid w:val="007379D5"/>
    <w:rsid w:val="007379E4"/>
    <w:rsid w:val="00737A0C"/>
    <w:rsid w:val="00737A9E"/>
    <w:rsid w:val="00737CC9"/>
    <w:rsid w:val="00737DB7"/>
    <w:rsid w:val="00737DE8"/>
    <w:rsid w:val="007402D5"/>
    <w:rsid w:val="007403DF"/>
    <w:rsid w:val="007403F0"/>
    <w:rsid w:val="00740405"/>
    <w:rsid w:val="0074046B"/>
    <w:rsid w:val="007405B0"/>
    <w:rsid w:val="00740926"/>
    <w:rsid w:val="00740A53"/>
    <w:rsid w:val="00740ADB"/>
    <w:rsid w:val="00740C4C"/>
    <w:rsid w:val="00740D59"/>
    <w:rsid w:val="00740D98"/>
    <w:rsid w:val="00740ECF"/>
    <w:rsid w:val="00740FE9"/>
    <w:rsid w:val="007411CE"/>
    <w:rsid w:val="00741903"/>
    <w:rsid w:val="007419C2"/>
    <w:rsid w:val="00741B93"/>
    <w:rsid w:val="00741FA1"/>
    <w:rsid w:val="00742041"/>
    <w:rsid w:val="0074259D"/>
    <w:rsid w:val="007427D8"/>
    <w:rsid w:val="00742C4C"/>
    <w:rsid w:val="00742F5D"/>
    <w:rsid w:val="0074307B"/>
    <w:rsid w:val="007432CD"/>
    <w:rsid w:val="00743BB5"/>
    <w:rsid w:val="00743E9E"/>
    <w:rsid w:val="00743FC3"/>
    <w:rsid w:val="00744352"/>
    <w:rsid w:val="0074481A"/>
    <w:rsid w:val="00744B02"/>
    <w:rsid w:val="0074561D"/>
    <w:rsid w:val="007456E3"/>
    <w:rsid w:val="00745A40"/>
    <w:rsid w:val="00745EF6"/>
    <w:rsid w:val="00745F9F"/>
    <w:rsid w:val="00746887"/>
    <w:rsid w:val="00746980"/>
    <w:rsid w:val="00746B52"/>
    <w:rsid w:val="00747482"/>
    <w:rsid w:val="007476C0"/>
    <w:rsid w:val="00747720"/>
    <w:rsid w:val="00747E99"/>
    <w:rsid w:val="00750169"/>
    <w:rsid w:val="0075038B"/>
    <w:rsid w:val="007503FB"/>
    <w:rsid w:val="007504D2"/>
    <w:rsid w:val="0075061A"/>
    <w:rsid w:val="00750645"/>
    <w:rsid w:val="007506AC"/>
    <w:rsid w:val="00750BC9"/>
    <w:rsid w:val="0075127F"/>
    <w:rsid w:val="00751283"/>
    <w:rsid w:val="00751388"/>
    <w:rsid w:val="00751688"/>
    <w:rsid w:val="00751A2A"/>
    <w:rsid w:val="00751AC4"/>
    <w:rsid w:val="00751B5E"/>
    <w:rsid w:val="00752132"/>
    <w:rsid w:val="007523B9"/>
    <w:rsid w:val="007526BA"/>
    <w:rsid w:val="0075285A"/>
    <w:rsid w:val="00752BB0"/>
    <w:rsid w:val="0075304C"/>
    <w:rsid w:val="0075310A"/>
    <w:rsid w:val="00753365"/>
    <w:rsid w:val="0075363D"/>
    <w:rsid w:val="0075371B"/>
    <w:rsid w:val="007538CC"/>
    <w:rsid w:val="00753C07"/>
    <w:rsid w:val="00753E52"/>
    <w:rsid w:val="00753EF3"/>
    <w:rsid w:val="00754FFE"/>
    <w:rsid w:val="007550FB"/>
    <w:rsid w:val="00755399"/>
    <w:rsid w:val="007554BE"/>
    <w:rsid w:val="00755E2C"/>
    <w:rsid w:val="007560D0"/>
    <w:rsid w:val="00756613"/>
    <w:rsid w:val="00756766"/>
    <w:rsid w:val="00756788"/>
    <w:rsid w:val="007569A4"/>
    <w:rsid w:val="00756EAC"/>
    <w:rsid w:val="00756ECD"/>
    <w:rsid w:val="007570CE"/>
    <w:rsid w:val="007572C5"/>
    <w:rsid w:val="007572FD"/>
    <w:rsid w:val="007578A7"/>
    <w:rsid w:val="00757A48"/>
    <w:rsid w:val="007600C3"/>
    <w:rsid w:val="00760430"/>
    <w:rsid w:val="00760445"/>
    <w:rsid w:val="00760893"/>
    <w:rsid w:val="00760AEA"/>
    <w:rsid w:val="00760FEF"/>
    <w:rsid w:val="00761047"/>
    <w:rsid w:val="007616DD"/>
    <w:rsid w:val="00761B46"/>
    <w:rsid w:val="00761CFF"/>
    <w:rsid w:val="00761E74"/>
    <w:rsid w:val="00761EC8"/>
    <w:rsid w:val="00761F93"/>
    <w:rsid w:val="007625A6"/>
    <w:rsid w:val="007625C2"/>
    <w:rsid w:val="0076262E"/>
    <w:rsid w:val="00762782"/>
    <w:rsid w:val="007629B2"/>
    <w:rsid w:val="007629C9"/>
    <w:rsid w:val="00762B75"/>
    <w:rsid w:val="00762F61"/>
    <w:rsid w:val="00763250"/>
    <w:rsid w:val="00763430"/>
    <w:rsid w:val="00763628"/>
    <w:rsid w:val="00763899"/>
    <w:rsid w:val="00763F85"/>
    <w:rsid w:val="00763FA9"/>
    <w:rsid w:val="00764166"/>
    <w:rsid w:val="007643E6"/>
    <w:rsid w:val="0076489C"/>
    <w:rsid w:val="007649A3"/>
    <w:rsid w:val="00764BA5"/>
    <w:rsid w:val="00765099"/>
    <w:rsid w:val="0076511D"/>
    <w:rsid w:val="007655E2"/>
    <w:rsid w:val="0076564B"/>
    <w:rsid w:val="00765714"/>
    <w:rsid w:val="00765AC8"/>
    <w:rsid w:val="00765D5C"/>
    <w:rsid w:val="00765E0A"/>
    <w:rsid w:val="0076639E"/>
    <w:rsid w:val="00766441"/>
    <w:rsid w:val="0076646D"/>
    <w:rsid w:val="007664CA"/>
    <w:rsid w:val="00766851"/>
    <w:rsid w:val="00766B75"/>
    <w:rsid w:val="0076743E"/>
    <w:rsid w:val="007676DB"/>
    <w:rsid w:val="00767CEA"/>
    <w:rsid w:val="00770105"/>
    <w:rsid w:val="0077052B"/>
    <w:rsid w:val="00770542"/>
    <w:rsid w:val="007709BC"/>
    <w:rsid w:val="00770A63"/>
    <w:rsid w:val="00770A8B"/>
    <w:rsid w:val="00770C3A"/>
    <w:rsid w:val="007710F7"/>
    <w:rsid w:val="00771291"/>
    <w:rsid w:val="0077172B"/>
    <w:rsid w:val="007720DE"/>
    <w:rsid w:val="007722B7"/>
    <w:rsid w:val="00772442"/>
    <w:rsid w:val="00772571"/>
    <w:rsid w:val="00772B41"/>
    <w:rsid w:val="00772CAF"/>
    <w:rsid w:val="00772E31"/>
    <w:rsid w:val="00773671"/>
    <w:rsid w:val="007737DD"/>
    <w:rsid w:val="00773CA8"/>
    <w:rsid w:val="00773CB4"/>
    <w:rsid w:val="00773F48"/>
    <w:rsid w:val="00774B4D"/>
    <w:rsid w:val="00774B7F"/>
    <w:rsid w:val="00774E4E"/>
    <w:rsid w:val="00774F94"/>
    <w:rsid w:val="00775195"/>
    <w:rsid w:val="007757D7"/>
    <w:rsid w:val="00775914"/>
    <w:rsid w:val="00775977"/>
    <w:rsid w:val="00775A61"/>
    <w:rsid w:val="00775C10"/>
    <w:rsid w:val="00775F42"/>
    <w:rsid w:val="00776187"/>
    <w:rsid w:val="00776240"/>
    <w:rsid w:val="007767BD"/>
    <w:rsid w:val="00776B76"/>
    <w:rsid w:val="00776C1C"/>
    <w:rsid w:val="00776C62"/>
    <w:rsid w:val="00776ED4"/>
    <w:rsid w:val="00776FF5"/>
    <w:rsid w:val="00777290"/>
    <w:rsid w:val="0077731A"/>
    <w:rsid w:val="0077731C"/>
    <w:rsid w:val="0077791F"/>
    <w:rsid w:val="00777B8A"/>
    <w:rsid w:val="00777DD4"/>
    <w:rsid w:val="00777E50"/>
    <w:rsid w:val="0078010A"/>
    <w:rsid w:val="0078022B"/>
    <w:rsid w:val="00780639"/>
    <w:rsid w:val="007807BC"/>
    <w:rsid w:val="007807F5"/>
    <w:rsid w:val="00780B0E"/>
    <w:rsid w:val="00780CCD"/>
    <w:rsid w:val="007810B2"/>
    <w:rsid w:val="0078137B"/>
    <w:rsid w:val="00781817"/>
    <w:rsid w:val="00781AD6"/>
    <w:rsid w:val="00781CCF"/>
    <w:rsid w:val="0078214F"/>
    <w:rsid w:val="007822AC"/>
    <w:rsid w:val="007823AF"/>
    <w:rsid w:val="007825F3"/>
    <w:rsid w:val="007825FB"/>
    <w:rsid w:val="0078285A"/>
    <w:rsid w:val="007829A7"/>
    <w:rsid w:val="007829D2"/>
    <w:rsid w:val="00782A8E"/>
    <w:rsid w:val="00782BAB"/>
    <w:rsid w:val="00782FFF"/>
    <w:rsid w:val="00783110"/>
    <w:rsid w:val="00783185"/>
    <w:rsid w:val="0078327D"/>
    <w:rsid w:val="0078336F"/>
    <w:rsid w:val="00783FD0"/>
    <w:rsid w:val="007841E5"/>
    <w:rsid w:val="00784566"/>
    <w:rsid w:val="00784B95"/>
    <w:rsid w:val="00784E14"/>
    <w:rsid w:val="007851EF"/>
    <w:rsid w:val="007853E2"/>
    <w:rsid w:val="007855D9"/>
    <w:rsid w:val="00785853"/>
    <w:rsid w:val="00785AF7"/>
    <w:rsid w:val="00785D17"/>
    <w:rsid w:val="00785D1C"/>
    <w:rsid w:val="00785D25"/>
    <w:rsid w:val="0078602A"/>
    <w:rsid w:val="007863BA"/>
    <w:rsid w:val="007864AA"/>
    <w:rsid w:val="007865F2"/>
    <w:rsid w:val="007867AA"/>
    <w:rsid w:val="00786C63"/>
    <w:rsid w:val="0078701E"/>
    <w:rsid w:val="0078742F"/>
    <w:rsid w:val="0078756B"/>
    <w:rsid w:val="0078778F"/>
    <w:rsid w:val="00787C00"/>
    <w:rsid w:val="00787E1F"/>
    <w:rsid w:val="00787E77"/>
    <w:rsid w:val="00787EA9"/>
    <w:rsid w:val="00790483"/>
    <w:rsid w:val="0079050C"/>
    <w:rsid w:val="0079108A"/>
    <w:rsid w:val="0079118C"/>
    <w:rsid w:val="00791611"/>
    <w:rsid w:val="00791863"/>
    <w:rsid w:val="0079203C"/>
    <w:rsid w:val="0079206D"/>
    <w:rsid w:val="00792150"/>
    <w:rsid w:val="007928B8"/>
    <w:rsid w:val="0079294E"/>
    <w:rsid w:val="00792958"/>
    <w:rsid w:val="00792A78"/>
    <w:rsid w:val="00792B06"/>
    <w:rsid w:val="00792FCF"/>
    <w:rsid w:val="007933F4"/>
    <w:rsid w:val="0079351F"/>
    <w:rsid w:val="007937A7"/>
    <w:rsid w:val="00793878"/>
    <w:rsid w:val="0079389D"/>
    <w:rsid w:val="00793E68"/>
    <w:rsid w:val="00793F88"/>
    <w:rsid w:val="0079423A"/>
    <w:rsid w:val="00794717"/>
    <w:rsid w:val="0079499A"/>
    <w:rsid w:val="00794BF5"/>
    <w:rsid w:val="00794C0D"/>
    <w:rsid w:val="00795214"/>
    <w:rsid w:val="0079580F"/>
    <w:rsid w:val="0079582D"/>
    <w:rsid w:val="007959E8"/>
    <w:rsid w:val="00795A41"/>
    <w:rsid w:val="00795F7D"/>
    <w:rsid w:val="00796589"/>
    <w:rsid w:val="007966A5"/>
    <w:rsid w:val="007967B8"/>
    <w:rsid w:val="00796A0B"/>
    <w:rsid w:val="00797283"/>
    <w:rsid w:val="0079786F"/>
    <w:rsid w:val="00797AAA"/>
    <w:rsid w:val="00797BD7"/>
    <w:rsid w:val="00797CAA"/>
    <w:rsid w:val="007A00E0"/>
    <w:rsid w:val="007A083D"/>
    <w:rsid w:val="007A0846"/>
    <w:rsid w:val="007A09DF"/>
    <w:rsid w:val="007A0AEA"/>
    <w:rsid w:val="007A0BDC"/>
    <w:rsid w:val="007A0C31"/>
    <w:rsid w:val="007A0DCD"/>
    <w:rsid w:val="007A108A"/>
    <w:rsid w:val="007A128B"/>
    <w:rsid w:val="007A12E7"/>
    <w:rsid w:val="007A16A0"/>
    <w:rsid w:val="007A18EC"/>
    <w:rsid w:val="007A209E"/>
    <w:rsid w:val="007A2588"/>
    <w:rsid w:val="007A2664"/>
    <w:rsid w:val="007A2679"/>
    <w:rsid w:val="007A299A"/>
    <w:rsid w:val="007A2B2E"/>
    <w:rsid w:val="007A2C9A"/>
    <w:rsid w:val="007A2CF0"/>
    <w:rsid w:val="007A2D96"/>
    <w:rsid w:val="007A2E93"/>
    <w:rsid w:val="007A3311"/>
    <w:rsid w:val="007A36EC"/>
    <w:rsid w:val="007A3770"/>
    <w:rsid w:val="007A3AFD"/>
    <w:rsid w:val="007A3F59"/>
    <w:rsid w:val="007A41F0"/>
    <w:rsid w:val="007A435C"/>
    <w:rsid w:val="007A4455"/>
    <w:rsid w:val="007A44E4"/>
    <w:rsid w:val="007A4CFA"/>
    <w:rsid w:val="007A4F5E"/>
    <w:rsid w:val="007A586E"/>
    <w:rsid w:val="007A58FF"/>
    <w:rsid w:val="007A596A"/>
    <w:rsid w:val="007A59AB"/>
    <w:rsid w:val="007A5A9C"/>
    <w:rsid w:val="007A5AB2"/>
    <w:rsid w:val="007A5CBE"/>
    <w:rsid w:val="007A5FBC"/>
    <w:rsid w:val="007A6460"/>
    <w:rsid w:val="007A65A6"/>
    <w:rsid w:val="007A6779"/>
    <w:rsid w:val="007A6892"/>
    <w:rsid w:val="007A68F8"/>
    <w:rsid w:val="007A694C"/>
    <w:rsid w:val="007A69A1"/>
    <w:rsid w:val="007A6F3D"/>
    <w:rsid w:val="007A6F50"/>
    <w:rsid w:val="007A6F71"/>
    <w:rsid w:val="007A6FE7"/>
    <w:rsid w:val="007A748A"/>
    <w:rsid w:val="007A77E4"/>
    <w:rsid w:val="007A7ECC"/>
    <w:rsid w:val="007B0250"/>
    <w:rsid w:val="007B0320"/>
    <w:rsid w:val="007B04C7"/>
    <w:rsid w:val="007B04D7"/>
    <w:rsid w:val="007B0573"/>
    <w:rsid w:val="007B0739"/>
    <w:rsid w:val="007B0EDA"/>
    <w:rsid w:val="007B1AB1"/>
    <w:rsid w:val="007B1C63"/>
    <w:rsid w:val="007B21F3"/>
    <w:rsid w:val="007B2587"/>
    <w:rsid w:val="007B26D0"/>
    <w:rsid w:val="007B2C20"/>
    <w:rsid w:val="007B2F50"/>
    <w:rsid w:val="007B3445"/>
    <w:rsid w:val="007B3533"/>
    <w:rsid w:val="007B35EB"/>
    <w:rsid w:val="007B370E"/>
    <w:rsid w:val="007B383E"/>
    <w:rsid w:val="007B398C"/>
    <w:rsid w:val="007B3A29"/>
    <w:rsid w:val="007B3D54"/>
    <w:rsid w:val="007B3D56"/>
    <w:rsid w:val="007B3D7C"/>
    <w:rsid w:val="007B3E7B"/>
    <w:rsid w:val="007B3FE8"/>
    <w:rsid w:val="007B4444"/>
    <w:rsid w:val="007B491A"/>
    <w:rsid w:val="007B49F1"/>
    <w:rsid w:val="007B4BCE"/>
    <w:rsid w:val="007B4C4D"/>
    <w:rsid w:val="007B4E8D"/>
    <w:rsid w:val="007B5103"/>
    <w:rsid w:val="007B5248"/>
    <w:rsid w:val="007B52B7"/>
    <w:rsid w:val="007B5718"/>
    <w:rsid w:val="007B59E9"/>
    <w:rsid w:val="007B5AA4"/>
    <w:rsid w:val="007B64F8"/>
    <w:rsid w:val="007B6747"/>
    <w:rsid w:val="007B6838"/>
    <w:rsid w:val="007B68C3"/>
    <w:rsid w:val="007B6997"/>
    <w:rsid w:val="007B6D12"/>
    <w:rsid w:val="007B745D"/>
    <w:rsid w:val="007C0399"/>
    <w:rsid w:val="007C0620"/>
    <w:rsid w:val="007C0863"/>
    <w:rsid w:val="007C0A7B"/>
    <w:rsid w:val="007C0B6A"/>
    <w:rsid w:val="007C1565"/>
    <w:rsid w:val="007C1E5C"/>
    <w:rsid w:val="007C1FC0"/>
    <w:rsid w:val="007C202F"/>
    <w:rsid w:val="007C2169"/>
    <w:rsid w:val="007C25AC"/>
    <w:rsid w:val="007C2C09"/>
    <w:rsid w:val="007C2EE9"/>
    <w:rsid w:val="007C2F31"/>
    <w:rsid w:val="007C36B6"/>
    <w:rsid w:val="007C38EF"/>
    <w:rsid w:val="007C3C31"/>
    <w:rsid w:val="007C3DED"/>
    <w:rsid w:val="007C404B"/>
    <w:rsid w:val="007C490C"/>
    <w:rsid w:val="007C4A3F"/>
    <w:rsid w:val="007C4A6B"/>
    <w:rsid w:val="007C5254"/>
    <w:rsid w:val="007C551D"/>
    <w:rsid w:val="007C58F0"/>
    <w:rsid w:val="007C62AD"/>
    <w:rsid w:val="007C66E8"/>
    <w:rsid w:val="007C6820"/>
    <w:rsid w:val="007C6DE8"/>
    <w:rsid w:val="007C6FBB"/>
    <w:rsid w:val="007C71CB"/>
    <w:rsid w:val="007C7226"/>
    <w:rsid w:val="007C76C2"/>
    <w:rsid w:val="007C7772"/>
    <w:rsid w:val="007C7B37"/>
    <w:rsid w:val="007D003E"/>
    <w:rsid w:val="007D02CE"/>
    <w:rsid w:val="007D08B2"/>
    <w:rsid w:val="007D0AE4"/>
    <w:rsid w:val="007D0DC5"/>
    <w:rsid w:val="007D160C"/>
    <w:rsid w:val="007D1799"/>
    <w:rsid w:val="007D24B6"/>
    <w:rsid w:val="007D26DE"/>
    <w:rsid w:val="007D2893"/>
    <w:rsid w:val="007D2AFB"/>
    <w:rsid w:val="007D2C07"/>
    <w:rsid w:val="007D2FC5"/>
    <w:rsid w:val="007D2FFE"/>
    <w:rsid w:val="007D3916"/>
    <w:rsid w:val="007D405B"/>
    <w:rsid w:val="007D4085"/>
    <w:rsid w:val="007D40FD"/>
    <w:rsid w:val="007D455E"/>
    <w:rsid w:val="007D46BD"/>
    <w:rsid w:val="007D4931"/>
    <w:rsid w:val="007D4CB2"/>
    <w:rsid w:val="007D4DE6"/>
    <w:rsid w:val="007D4E68"/>
    <w:rsid w:val="007D5067"/>
    <w:rsid w:val="007D549F"/>
    <w:rsid w:val="007D5522"/>
    <w:rsid w:val="007D57F8"/>
    <w:rsid w:val="007D592F"/>
    <w:rsid w:val="007D5BF2"/>
    <w:rsid w:val="007D5F6C"/>
    <w:rsid w:val="007D6027"/>
    <w:rsid w:val="007D658C"/>
    <w:rsid w:val="007D6A78"/>
    <w:rsid w:val="007D6AD0"/>
    <w:rsid w:val="007D6BFD"/>
    <w:rsid w:val="007D6C08"/>
    <w:rsid w:val="007D6C0D"/>
    <w:rsid w:val="007D6D07"/>
    <w:rsid w:val="007D7227"/>
    <w:rsid w:val="007D72F9"/>
    <w:rsid w:val="007D7535"/>
    <w:rsid w:val="007D77A8"/>
    <w:rsid w:val="007D79C8"/>
    <w:rsid w:val="007D7A7F"/>
    <w:rsid w:val="007D7AE1"/>
    <w:rsid w:val="007D7D34"/>
    <w:rsid w:val="007D7D45"/>
    <w:rsid w:val="007D7F37"/>
    <w:rsid w:val="007E038C"/>
    <w:rsid w:val="007E03B1"/>
    <w:rsid w:val="007E06C5"/>
    <w:rsid w:val="007E0932"/>
    <w:rsid w:val="007E0938"/>
    <w:rsid w:val="007E0E29"/>
    <w:rsid w:val="007E118C"/>
    <w:rsid w:val="007E11E0"/>
    <w:rsid w:val="007E1234"/>
    <w:rsid w:val="007E1469"/>
    <w:rsid w:val="007E14B0"/>
    <w:rsid w:val="007E157C"/>
    <w:rsid w:val="007E17E2"/>
    <w:rsid w:val="007E18E1"/>
    <w:rsid w:val="007E1B20"/>
    <w:rsid w:val="007E1B89"/>
    <w:rsid w:val="007E1D01"/>
    <w:rsid w:val="007E20B4"/>
    <w:rsid w:val="007E239B"/>
    <w:rsid w:val="007E271E"/>
    <w:rsid w:val="007E29ED"/>
    <w:rsid w:val="007E2DA7"/>
    <w:rsid w:val="007E2FEB"/>
    <w:rsid w:val="007E3085"/>
    <w:rsid w:val="007E30D5"/>
    <w:rsid w:val="007E356C"/>
    <w:rsid w:val="007E357F"/>
    <w:rsid w:val="007E358E"/>
    <w:rsid w:val="007E35AD"/>
    <w:rsid w:val="007E37B2"/>
    <w:rsid w:val="007E389C"/>
    <w:rsid w:val="007E38F4"/>
    <w:rsid w:val="007E3AE2"/>
    <w:rsid w:val="007E3C3A"/>
    <w:rsid w:val="007E3CEC"/>
    <w:rsid w:val="007E3FE7"/>
    <w:rsid w:val="007E4412"/>
    <w:rsid w:val="007E4824"/>
    <w:rsid w:val="007E48B0"/>
    <w:rsid w:val="007E4CB8"/>
    <w:rsid w:val="007E4D13"/>
    <w:rsid w:val="007E5062"/>
    <w:rsid w:val="007E5063"/>
    <w:rsid w:val="007E50EB"/>
    <w:rsid w:val="007E5163"/>
    <w:rsid w:val="007E5323"/>
    <w:rsid w:val="007E53B6"/>
    <w:rsid w:val="007E54F6"/>
    <w:rsid w:val="007E5536"/>
    <w:rsid w:val="007E553D"/>
    <w:rsid w:val="007E555C"/>
    <w:rsid w:val="007E57AA"/>
    <w:rsid w:val="007E5D4F"/>
    <w:rsid w:val="007E5D95"/>
    <w:rsid w:val="007E6433"/>
    <w:rsid w:val="007E68BE"/>
    <w:rsid w:val="007E6901"/>
    <w:rsid w:val="007E699A"/>
    <w:rsid w:val="007E6F6F"/>
    <w:rsid w:val="007E726B"/>
    <w:rsid w:val="007E74E4"/>
    <w:rsid w:val="007E76DB"/>
    <w:rsid w:val="007E7C39"/>
    <w:rsid w:val="007F0927"/>
    <w:rsid w:val="007F0E5C"/>
    <w:rsid w:val="007F0FD9"/>
    <w:rsid w:val="007F101C"/>
    <w:rsid w:val="007F18E6"/>
    <w:rsid w:val="007F2051"/>
    <w:rsid w:val="007F21D5"/>
    <w:rsid w:val="007F226D"/>
    <w:rsid w:val="007F23B7"/>
    <w:rsid w:val="007F29CB"/>
    <w:rsid w:val="007F2C4E"/>
    <w:rsid w:val="007F2CB6"/>
    <w:rsid w:val="007F30F1"/>
    <w:rsid w:val="007F332A"/>
    <w:rsid w:val="007F36A1"/>
    <w:rsid w:val="007F370F"/>
    <w:rsid w:val="007F3C32"/>
    <w:rsid w:val="007F3ED5"/>
    <w:rsid w:val="007F458F"/>
    <w:rsid w:val="007F4A46"/>
    <w:rsid w:val="007F4AA0"/>
    <w:rsid w:val="007F4E02"/>
    <w:rsid w:val="007F4E81"/>
    <w:rsid w:val="007F4FA0"/>
    <w:rsid w:val="007F52A9"/>
    <w:rsid w:val="007F57E9"/>
    <w:rsid w:val="007F5D45"/>
    <w:rsid w:val="007F66EE"/>
    <w:rsid w:val="007F672E"/>
    <w:rsid w:val="007F69BD"/>
    <w:rsid w:val="007F6F0A"/>
    <w:rsid w:val="007F710A"/>
    <w:rsid w:val="007F754E"/>
    <w:rsid w:val="007F765A"/>
    <w:rsid w:val="007F775D"/>
    <w:rsid w:val="007F78CE"/>
    <w:rsid w:val="007F7927"/>
    <w:rsid w:val="007F7AA2"/>
    <w:rsid w:val="007F7C70"/>
    <w:rsid w:val="00800041"/>
    <w:rsid w:val="008001C5"/>
    <w:rsid w:val="0080021A"/>
    <w:rsid w:val="00800301"/>
    <w:rsid w:val="0080040F"/>
    <w:rsid w:val="00800439"/>
    <w:rsid w:val="00800D2C"/>
    <w:rsid w:val="00801D72"/>
    <w:rsid w:val="00801F27"/>
    <w:rsid w:val="00801F7A"/>
    <w:rsid w:val="008020CD"/>
    <w:rsid w:val="00802127"/>
    <w:rsid w:val="00802251"/>
    <w:rsid w:val="008022B7"/>
    <w:rsid w:val="008025B5"/>
    <w:rsid w:val="008027BF"/>
    <w:rsid w:val="008029A8"/>
    <w:rsid w:val="008029F5"/>
    <w:rsid w:val="00802FC4"/>
    <w:rsid w:val="0080355F"/>
    <w:rsid w:val="00803827"/>
    <w:rsid w:val="00803D15"/>
    <w:rsid w:val="00803EDD"/>
    <w:rsid w:val="00804B2B"/>
    <w:rsid w:val="008050C2"/>
    <w:rsid w:val="008055F8"/>
    <w:rsid w:val="0080565A"/>
    <w:rsid w:val="00805BC3"/>
    <w:rsid w:val="008067E5"/>
    <w:rsid w:val="00806A52"/>
    <w:rsid w:val="00807067"/>
    <w:rsid w:val="008070B1"/>
    <w:rsid w:val="0080716D"/>
    <w:rsid w:val="00807AE5"/>
    <w:rsid w:val="00807C8B"/>
    <w:rsid w:val="00807D59"/>
    <w:rsid w:val="00807DB1"/>
    <w:rsid w:val="00810242"/>
    <w:rsid w:val="00810512"/>
    <w:rsid w:val="00810707"/>
    <w:rsid w:val="00810F27"/>
    <w:rsid w:val="0081132A"/>
    <w:rsid w:val="008114C2"/>
    <w:rsid w:val="00811669"/>
    <w:rsid w:val="008118DA"/>
    <w:rsid w:val="00811A71"/>
    <w:rsid w:val="00811C4D"/>
    <w:rsid w:val="00811CF5"/>
    <w:rsid w:val="00811FE7"/>
    <w:rsid w:val="00812B2A"/>
    <w:rsid w:val="00812BF4"/>
    <w:rsid w:val="00813192"/>
    <w:rsid w:val="00813198"/>
    <w:rsid w:val="008134C9"/>
    <w:rsid w:val="008144A8"/>
    <w:rsid w:val="008144A9"/>
    <w:rsid w:val="00814512"/>
    <w:rsid w:val="00814790"/>
    <w:rsid w:val="008148C9"/>
    <w:rsid w:val="00814B46"/>
    <w:rsid w:val="00814D39"/>
    <w:rsid w:val="00814E5C"/>
    <w:rsid w:val="00814FDE"/>
    <w:rsid w:val="0081529A"/>
    <w:rsid w:val="00815693"/>
    <w:rsid w:val="00815F8B"/>
    <w:rsid w:val="0081694B"/>
    <w:rsid w:val="0081699C"/>
    <w:rsid w:val="00816F10"/>
    <w:rsid w:val="00816F93"/>
    <w:rsid w:val="008173CC"/>
    <w:rsid w:val="008179C0"/>
    <w:rsid w:val="00817C35"/>
    <w:rsid w:val="00820252"/>
    <w:rsid w:val="008206CF"/>
    <w:rsid w:val="0082116F"/>
    <w:rsid w:val="00821336"/>
    <w:rsid w:val="00821ADF"/>
    <w:rsid w:val="00821B3B"/>
    <w:rsid w:val="008224A3"/>
    <w:rsid w:val="008225A5"/>
    <w:rsid w:val="008225CC"/>
    <w:rsid w:val="00822717"/>
    <w:rsid w:val="00822878"/>
    <w:rsid w:val="00822921"/>
    <w:rsid w:val="00822AED"/>
    <w:rsid w:val="00822B7D"/>
    <w:rsid w:val="00822EC0"/>
    <w:rsid w:val="0082304B"/>
    <w:rsid w:val="00823137"/>
    <w:rsid w:val="008232A7"/>
    <w:rsid w:val="008236D5"/>
    <w:rsid w:val="008237FA"/>
    <w:rsid w:val="008238AC"/>
    <w:rsid w:val="00823E34"/>
    <w:rsid w:val="008247D2"/>
    <w:rsid w:val="00824873"/>
    <w:rsid w:val="00824D9D"/>
    <w:rsid w:val="0082519E"/>
    <w:rsid w:val="00825CE5"/>
    <w:rsid w:val="0082639A"/>
    <w:rsid w:val="008264CB"/>
    <w:rsid w:val="00826F5D"/>
    <w:rsid w:val="00827455"/>
    <w:rsid w:val="0082755A"/>
    <w:rsid w:val="008275C2"/>
    <w:rsid w:val="0082785C"/>
    <w:rsid w:val="00827F44"/>
    <w:rsid w:val="00827FFB"/>
    <w:rsid w:val="0083009F"/>
    <w:rsid w:val="008300AE"/>
    <w:rsid w:val="008300D2"/>
    <w:rsid w:val="00830197"/>
    <w:rsid w:val="008305FC"/>
    <w:rsid w:val="00830966"/>
    <w:rsid w:val="00830A38"/>
    <w:rsid w:val="0083106D"/>
    <w:rsid w:val="00831127"/>
    <w:rsid w:val="008311A8"/>
    <w:rsid w:val="008311E6"/>
    <w:rsid w:val="008315F3"/>
    <w:rsid w:val="0083166D"/>
    <w:rsid w:val="008317C9"/>
    <w:rsid w:val="008318FC"/>
    <w:rsid w:val="00831976"/>
    <w:rsid w:val="00831BE8"/>
    <w:rsid w:val="00831E73"/>
    <w:rsid w:val="00831F8A"/>
    <w:rsid w:val="00832009"/>
    <w:rsid w:val="00832094"/>
    <w:rsid w:val="008320B1"/>
    <w:rsid w:val="008322A4"/>
    <w:rsid w:val="00832945"/>
    <w:rsid w:val="008329BA"/>
    <w:rsid w:val="00832F1E"/>
    <w:rsid w:val="0083301F"/>
    <w:rsid w:val="0083302E"/>
    <w:rsid w:val="008331A0"/>
    <w:rsid w:val="0083345F"/>
    <w:rsid w:val="00833484"/>
    <w:rsid w:val="008334C4"/>
    <w:rsid w:val="00833B2B"/>
    <w:rsid w:val="00833F8F"/>
    <w:rsid w:val="00834277"/>
    <w:rsid w:val="0083431B"/>
    <w:rsid w:val="008346E8"/>
    <w:rsid w:val="00834722"/>
    <w:rsid w:val="008347D2"/>
    <w:rsid w:val="0083486E"/>
    <w:rsid w:val="00834E77"/>
    <w:rsid w:val="00835819"/>
    <w:rsid w:val="00835928"/>
    <w:rsid w:val="00835B5D"/>
    <w:rsid w:val="00835C41"/>
    <w:rsid w:val="00835DCC"/>
    <w:rsid w:val="00835E45"/>
    <w:rsid w:val="008360A8"/>
    <w:rsid w:val="008362AB"/>
    <w:rsid w:val="008362F0"/>
    <w:rsid w:val="0083659B"/>
    <w:rsid w:val="00836AF8"/>
    <w:rsid w:val="00837170"/>
    <w:rsid w:val="008377A1"/>
    <w:rsid w:val="008378F0"/>
    <w:rsid w:val="00837B76"/>
    <w:rsid w:val="00837C5C"/>
    <w:rsid w:val="00837C7F"/>
    <w:rsid w:val="008407FA"/>
    <w:rsid w:val="00840951"/>
    <w:rsid w:val="00840AA3"/>
    <w:rsid w:val="008410F6"/>
    <w:rsid w:val="0084110C"/>
    <w:rsid w:val="008417BD"/>
    <w:rsid w:val="008418BF"/>
    <w:rsid w:val="00841AA3"/>
    <w:rsid w:val="00841DE1"/>
    <w:rsid w:val="0084207D"/>
    <w:rsid w:val="008420B3"/>
    <w:rsid w:val="00842317"/>
    <w:rsid w:val="008425B2"/>
    <w:rsid w:val="00842774"/>
    <w:rsid w:val="00842855"/>
    <w:rsid w:val="00842860"/>
    <w:rsid w:val="00842A35"/>
    <w:rsid w:val="00842E81"/>
    <w:rsid w:val="00843053"/>
    <w:rsid w:val="00843547"/>
    <w:rsid w:val="008436D9"/>
    <w:rsid w:val="00843A20"/>
    <w:rsid w:val="00843C20"/>
    <w:rsid w:val="008441DB"/>
    <w:rsid w:val="00844315"/>
    <w:rsid w:val="008445C9"/>
    <w:rsid w:val="008447F1"/>
    <w:rsid w:val="00844862"/>
    <w:rsid w:val="0084488E"/>
    <w:rsid w:val="00844A11"/>
    <w:rsid w:val="008450E7"/>
    <w:rsid w:val="008455A6"/>
    <w:rsid w:val="008455B7"/>
    <w:rsid w:val="00845665"/>
    <w:rsid w:val="00845887"/>
    <w:rsid w:val="008459E0"/>
    <w:rsid w:val="00845DCC"/>
    <w:rsid w:val="008460A9"/>
    <w:rsid w:val="00846755"/>
    <w:rsid w:val="00846C1E"/>
    <w:rsid w:val="00846C41"/>
    <w:rsid w:val="00846EDA"/>
    <w:rsid w:val="008470FE"/>
    <w:rsid w:val="00847E9B"/>
    <w:rsid w:val="00847FF9"/>
    <w:rsid w:val="0085009C"/>
    <w:rsid w:val="00850401"/>
    <w:rsid w:val="00850482"/>
    <w:rsid w:val="00850706"/>
    <w:rsid w:val="00850802"/>
    <w:rsid w:val="00850836"/>
    <w:rsid w:val="0085092D"/>
    <w:rsid w:val="00850F30"/>
    <w:rsid w:val="00851008"/>
    <w:rsid w:val="008519B0"/>
    <w:rsid w:val="00851C93"/>
    <w:rsid w:val="00851CED"/>
    <w:rsid w:val="00851DDF"/>
    <w:rsid w:val="0085204E"/>
    <w:rsid w:val="008520AD"/>
    <w:rsid w:val="008520C7"/>
    <w:rsid w:val="0085260C"/>
    <w:rsid w:val="00852AC8"/>
    <w:rsid w:val="00852BD8"/>
    <w:rsid w:val="00852C86"/>
    <w:rsid w:val="00852CDD"/>
    <w:rsid w:val="00853080"/>
    <w:rsid w:val="0085336B"/>
    <w:rsid w:val="0085342E"/>
    <w:rsid w:val="008535C4"/>
    <w:rsid w:val="0085389B"/>
    <w:rsid w:val="00853BDA"/>
    <w:rsid w:val="00854469"/>
    <w:rsid w:val="0085449F"/>
    <w:rsid w:val="0085482B"/>
    <w:rsid w:val="00854967"/>
    <w:rsid w:val="008553EE"/>
    <w:rsid w:val="00855A49"/>
    <w:rsid w:val="00855B41"/>
    <w:rsid w:val="00855D9B"/>
    <w:rsid w:val="008563DE"/>
    <w:rsid w:val="008565F5"/>
    <w:rsid w:val="008569AF"/>
    <w:rsid w:val="00856A7C"/>
    <w:rsid w:val="00856AF3"/>
    <w:rsid w:val="00856D30"/>
    <w:rsid w:val="00856E57"/>
    <w:rsid w:val="0085710F"/>
    <w:rsid w:val="00857135"/>
    <w:rsid w:val="0085730E"/>
    <w:rsid w:val="00857501"/>
    <w:rsid w:val="0085768F"/>
    <w:rsid w:val="008576C3"/>
    <w:rsid w:val="00857EE6"/>
    <w:rsid w:val="00857FAC"/>
    <w:rsid w:val="00860167"/>
    <w:rsid w:val="008602E8"/>
    <w:rsid w:val="008605AD"/>
    <w:rsid w:val="00860820"/>
    <w:rsid w:val="00860872"/>
    <w:rsid w:val="00860A18"/>
    <w:rsid w:val="00860D5F"/>
    <w:rsid w:val="00861025"/>
    <w:rsid w:val="0086116B"/>
    <w:rsid w:val="00861503"/>
    <w:rsid w:val="00861A20"/>
    <w:rsid w:val="00861E4A"/>
    <w:rsid w:val="00861E93"/>
    <w:rsid w:val="00861FD3"/>
    <w:rsid w:val="00862C6D"/>
    <w:rsid w:val="00862EAC"/>
    <w:rsid w:val="0086317E"/>
    <w:rsid w:val="00863299"/>
    <w:rsid w:val="00863429"/>
    <w:rsid w:val="0086367A"/>
    <w:rsid w:val="0086369A"/>
    <w:rsid w:val="008636CA"/>
    <w:rsid w:val="008637E1"/>
    <w:rsid w:val="0086383D"/>
    <w:rsid w:val="00863D17"/>
    <w:rsid w:val="00863D94"/>
    <w:rsid w:val="00863E59"/>
    <w:rsid w:val="00863F48"/>
    <w:rsid w:val="00864336"/>
    <w:rsid w:val="008648BB"/>
    <w:rsid w:val="00864971"/>
    <w:rsid w:val="008649BA"/>
    <w:rsid w:val="00864DF0"/>
    <w:rsid w:val="0086503A"/>
    <w:rsid w:val="0086511B"/>
    <w:rsid w:val="00865154"/>
    <w:rsid w:val="00865225"/>
    <w:rsid w:val="0086531A"/>
    <w:rsid w:val="008653A1"/>
    <w:rsid w:val="008659EB"/>
    <w:rsid w:val="00865B76"/>
    <w:rsid w:val="00865F9F"/>
    <w:rsid w:val="008660B0"/>
    <w:rsid w:val="0086622F"/>
    <w:rsid w:val="00866238"/>
    <w:rsid w:val="00866261"/>
    <w:rsid w:val="0086638C"/>
    <w:rsid w:val="00866592"/>
    <w:rsid w:val="00866AB3"/>
    <w:rsid w:val="00866B88"/>
    <w:rsid w:val="00866BF4"/>
    <w:rsid w:val="00866D0B"/>
    <w:rsid w:val="008670DA"/>
    <w:rsid w:val="0086747C"/>
    <w:rsid w:val="00867564"/>
    <w:rsid w:val="008675E2"/>
    <w:rsid w:val="008677FE"/>
    <w:rsid w:val="00867A05"/>
    <w:rsid w:val="00867CA9"/>
    <w:rsid w:val="00867D77"/>
    <w:rsid w:val="00867E62"/>
    <w:rsid w:val="008700F2"/>
    <w:rsid w:val="008701D3"/>
    <w:rsid w:val="00870473"/>
    <w:rsid w:val="008705EE"/>
    <w:rsid w:val="008705FA"/>
    <w:rsid w:val="008706B7"/>
    <w:rsid w:val="00870797"/>
    <w:rsid w:val="00870832"/>
    <w:rsid w:val="008709F0"/>
    <w:rsid w:val="00870AAB"/>
    <w:rsid w:val="00871684"/>
    <w:rsid w:val="00871B95"/>
    <w:rsid w:val="00871CB1"/>
    <w:rsid w:val="00871D43"/>
    <w:rsid w:val="00871F09"/>
    <w:rsid w:val="0087203D"/>
    <w:rsid w:val="00872121"/>
    <w:rsid w:val="00872319"/>
    <w:rsid w:val="00872644"/>
    <w:rsid w:val="0087271C"/>
    <w:rsid w:val="00872857"/>
    <w:rsid w:val="008730F2"/>
    <w:rsid w:val="00873172"/>
    <w:rsid w:val="008732F8"/>
    <w:rsid w:val="0087348D"/>
    <w:rsid w:val="008735C0"/>
    <w:rsid w:val="008738D9"/>
    <w:rsid w:val="00873C32"/>
    <w:rsid w:val="00873E37"/>
    <w:rsid w:val="00873F7B"/>
    <w:rsid w:val="00873F9F"/>
    <w:rsid w:val="0087415C"/>
    <w:rsid w:val="008745A5"/>
    <w:rsid w:val="00874952"/>
    <w:rsid w:val="00874975"/>
    <w:rsid w:val="00874CEF"/>
    <w:rsid w:val="00875A06"/>
    <w:rsid w:val="00875B71"/>
    <w:rsid w:val="00875D69"/>
    <w:rsid w:val="00875DF8"/>
    <w:rsid w:val="00875EB5"/>
    <w:rsid w:val="0087653E"/>
    <w:rsid w:val="00876A14"/>
    <w:rsid w:val="00876A2F"/>
    <w:rsid w:val="00876AE8"/>
    <w:rsid w:val="00876CB7"/>
    <w:rsid w:val="00876D33"/>
    <w:rsid w:val="00876EC7"/>
    <w:rsid w:val="00876F0F"/>
    <w:rsid w:val="00876F56"/>
    <w:rsid w:val="00877118"/>
    <w:rsid w:val="00877507"/>
    <w:rsid w:val="00877630"/>
    <w:rsid w:val="00877653"/>
    <w:rsid w:val="00877AB9"/>
    <w:rsid w:val="00877B0C"/>
    <w:rsid w:val="00877EB7"/>
    <w:rsid w:val="008800EE"/>
    <w:rsid w:val="008805D3"/>
    <w:rsid w:val="00880C02"/>
    <w:rsid w:val="00880D47"/>
    <w:rsid w:val="00880E8A"/>
    <w:rsid w:val="00880E91"/>
    <w:rsid w:val="00880EFC"/>
    <w:rsid w:val="00881143"/>
    <w:rsid w:val="00881172"/>
    <w:rsid w:val="00881864"/>
    <w:rsid w:val="00881BBC"/>
    <w:rsid w:val="00881BD4"/>
    <w:rsid w:val="00882243"/>
    <w:rsid w:val="00882362"/>
    <w:rsid w:val="008829D5"/>
    <w:rsid w:val="00882D56"/>
    <w:rsid w:val="00882F58"/>
    <w:rsid w:val="0088303D"/>
    <w:rsid w:val="008831AA"/>
    <w:rsid w:val="0088322F"/>
    <w:rsid w:val="0088333C"/>
    <w:rsid w:val="008834D1"/>
    <w:rsid w:val="00883613"/>
    <w:rsid w:val="00883CB0"/>
    <w:rsid w:val="00883E44"/>
    <w:rsid w:val="008841A8"/>
    <w:rsid w:val="0088427B"/>
    <w:rsid w:val="008845BA"/>
    <w:rsid w:val="00885238"/>
    <w:rsid w:val="0088524E"/>
    <w:rsid w:val="00885616"/>
    <w:rsid w:val="00885632"/>
    <w:rsid w:val="00885969"/>
    <w:rsid w:val="00885A6C"/>
    <w:rsid w:val="00885C4D"/>
    <w:rsid w:val="00886143"/>
    <w:rsid w:val="0088627B"/>
    <w:rsid w:val="008865F7"/>
    <w:rsid w:val="008866D3"/>
    <w:rsid w:val="0088681D"/>
    <w:rsid w:val="00886E75"/>
    <w:rsid w:val="00887344"/>
    <w:rsid w:val="008874F4"/>
    <w:rsid w:val="00887BA1"/>
    <w:rsid w:val="00887BC0"/>
    <w:rsid w:val="00887D0E"/>
    <w:rsid w:val="008901DC"/>
    <w:rsid w:val="008902B0"/>
    <w:rsid w:val="00890354"/>
    <w:rsid w:val="00890587"/>
    <w:rsid w:val="008906BC"/>
    <w:rsid w:val="00890750"/>
    <w:rsid w:val="008907C0"/>
    <w:rsid w:val="00890800"/>
    <w:rsid w:val="0089080F"/>
    <w:rsid w:val="00890CEE"/>
    <w:rsid w:val="00890D2C"/>
    <w:rsid w:val="00890E07"/>
    <w:rsid w:val="008913E1"/>
    <w:rsid w:val="00891543"/>
    <w:rsid w:val="008915F5"/>
    <w:rsid w:val="00891606"/>
    <w:rsid w:val="0089160A"/>
    <w:rsid w:val="00891740"/>
    <w:rsid w:val="008917B9"/>
    <w:rsid w:val="00891860"/>
    <w:rsid w:val="008918E3"/>
    <w:rsid w:val="00891DAA"/>
    <w:rsid w:val="00891F2C"/>
    <w:rsid w:val="00891F5F"/>
    <w:rsid w:val="008920FE"/>
    <w:rsid w:val="0089221E"/>
    <w:rsid w:val="00892529"/>
    <w:rsid w:val="00892740"/>
    <w:rsid w:val="008927C5"/>
    <w:rsid w:val="00892C58"/>
    <w:rsid w:val="00892D63"/>
    <w:rsid w:val="00893673"/>
    <w:rsid w:val="00893788"/>
    <w:rsid w:val="00893BA5"/>
    <w:rsid w:val="00894074"/>
    <w:rsid w:val="008941F7"/>
    <w:rsid w:val="00894749"/>
    <w:rsid w:val="008948FB"/>
    <w:rsid w:val="00894A14"/>
    <w:rsid w:val="00894B90"/>
    <w:rsid w:val="00895616"/>
    <w:rsid w:val="0089585F"/>
    <w:rsid w:val="00895A95"/>
    <w:rsid w:val="00895EE2"/>
    <w:rsid w:val="00896266"/>
    <w:rsid w:val="008967A9"/>
    <w:rsid w:val="008968CF"/>
    <w:rsid w:val="008968E7"/>
    <w:rsid w:val="008968F1"/>
    <w:rsid w:val="00896BF8"/>
    <w:rsid w:val="00896C85"/>
    <w:rsid w:val="0089701D"/>
    <w:rsid w:val="00897136"/>
    <w:rsid w:val="00897676"/>
    <w:rsid w:val="008976AD"/>
    <w:rsid w:val="00897BA8"/>
    <w:rsid w:val="008A0281"/>
    <w:rsid w:val="008A033F"/>
    <w:rsid w:val="008A0393"/>
    <w:rsid w:val="008A0644"/>
    <w:rsid w:val="008A067C"/>
    <w:rsid w:val="008A08A2"/>
    <w:rsid w:val="008A0A25"/>
    <w:rsid w:val="008A0BCE"/>
    <w:rsid w:val="008A0D1E"/>
    <w:rsid w:val="008A1243"/>
    <w:rsid w:val="008A15B6"/>
    <w:rsid w:val="008A196E"/>
    <w:rsid w:val="008A1A3F"/>
    <w:rsid w:val="008A1A51"/>
    <w:rsid w:val="008A1C6C"/>
    <w:rsid w:val="008A1DC9"/>
    <w:rsid w:val="008A1F83"/>
    <w:rsid w:val="008A2090"/>
    <w:rsid w:val="008A2356"/>
    <w:rsid w:val="008A2688"/>
    <w:rsid w:val="008A2D98"/>
    <w:rsid w:val="008A2F98"/>
    <w:rsid w:val="008A329F"/>
    <w:rsid w:val="008A32BB"/>
    <w:rsid w:val="008A375E"/>
    <w:rsid w:val="008A3D6C"/>
    <w:rsid w:val="008A3E0C"/>
    <w:rsid w:val="008A42AB"/>
    <w:rsid w:val="008A4B52"/>
    <w:rsid w:val="008A4BCB"/>
    <w:rsid w:val="008A4C2D"/>
    <w:rsid w:val="008A50F8"/>
    <w:rsid w:val="008A5379"/>
    <w:rsid w:val="008A53BC"/>
    <w:rsid w:val="008A562C"/>
    <w:rsid w:val="008A57B8"/>
    <w:rsid w:val="008A5C88"/>
    <w:rsid w:val="008A61F7"/>
    <w:rsid w:val="008A6FF4"/>
    <w:rsid w:val="008A71B9"/>
    <w:rsid w:val="008A72E2"/>
    <w:rsid w:val="008A7912"/>
    <w:rsid w:val="008A79CE"/>
    <w:rsid w:val="008A7DDC"/>
    <w:rsid w:val="008A7EDE"/>
    <w:rsid w:val="008B0046"/>
    <w:rsid w:val="008B0555"/>
    <w:rsid w:val="008B07EB"/>
    <w:rsid w:val="008B0ADF"/>
    <w:rsid w:val="008B0B86"/>
    <w:rsid w:val="008B0F69"/>
    <w:rsid w:val="008B10C7"/>
    <w:rsid w:val="008B11CC"/>
    <w:rsid w:val="008B1E85"/>
    <w:rsid w:val="008B20EA"/>
    <w:rsid w:val="008B21A3"/>
    <w:rsid w:val="008B2227"/>
    <w:rsid w:val="008B235B"/>
    <w:rsid w:val="008B2370"/>
    <w:rsid w:val="008B271B"/>
    <w:rsid w:val="008B2A2E"/>
    <w:rsid w:val="008B2ADF"/>
    <w:rsid w:val="008B2C48"/>
    <w:rsid w:val="008B2CA7"/>
    <w:rsid w:val="008B2EA5"/>
    <w:rsid w:val="008B384B"/>
    <w:rsid w:val="008B39A1"/>
    <w:rsid w:val="008B39B1"/>
    <w:rsid w:val="008B3CC4"/>
    <w:rsid w:val="008B41E7"/>
    <w:rsid w:val="008B44A2"/>
    <w:rsid w:val="008B49A1"/>
    <w:rsid w:val="008B4D3D"/>
    <w:rsid w:val="008B50B0"/>
    <w:rsid w:val="008B51A4"/>
    <w:rsid w:val="008B526A"/>
    <w:rsid w:val="008B5856"/>
    <w:rsid w:val="008B5C11"/>
    <w:rsid w:val="008B6044"/>
    <w:rsid w:val="008B605F"/>
    <w:rsid w:val="008B6507"/>
    <w:rsid w:val="008B6514"/>
    <w:rsid w:val="008B674D"/>
    <w:rsid w:val="008B6784"/>
    <w:rsid w:val="008B6D28"/>
    <w:rsid w:val="008B6EEB"/>
    <w:rsid w:val="008B6F21"/>
    <w:rsid w:val="008B70FF"/>
    <w:rsid w:val="008B714F"/>
    <w:rsid w:val="008B72E0"/>
    <w:rsid w:val="008B742A"/>
    <w:rsid w:val="008B7705"/>
    <w:rsid w:val="008B79C7"/>
    <w:rsid w:val="008B7CCF"/>
    <w:rsid w:val="008B7D6A"/>
    <w:rsid w:val="008B7DD8"/>
    <w:rsid w:val="008C0042"/>
    <w:rsid w:val="008C00CA"/>
    <w:rsid w:val="008C0120"/>
    <w:rsid w:val="008C072E"/>
    <w:rsid w:val="008C0867"/>
    <w:rsid w:val="008C08C2"/>
    <w:rsid w:val="008C0AB3"/>
    <w:rsid w:val="008C0F01"/>
    <w:rsid w:val="008C1217"/>
    <w:rsid w:val="008C154A"/>
    <w:rsid w:val="008C1D9A"/>
    <w:rsid w:val="008C21DB"/>
    <w:rsid w:val="008C23C6"/>
    <w:rsid w:val="008C28A6"/>
    <w:rsid w:val="008C2A1A"/>
    <w:rsid w:val="008C2CA2"/>
    <w:rsid w:val="008C2D1F"/>
    <w:rsid w:val="008C3085"/>
    <w:rsid w:val="008C34A1"/>
    <w:rsid w:val="008C3582"/>
    <w:rsid w:val="008C366A"/>
    <w:rsid w:val="008C36F2"/>
    <w:rsid w:val="008C3F1A"/>
    <w:rsid w:val="008C4091"/>
    <w:rsid w:val="008C4216"/>
    <w:rsid w:val="008C45D1"/>
    <w:rsid w:val="008C4850"/>
    <w:rsid w:val="008C4AB3"/>
    <w:rsid w:val="008C4B74"/>
    <w:rsid w:val="008C4E01"/>
    <w:rsid w:val="008C548B"/>
    <w:rsid w:val="008C554E"/>
    <w:rsid w:val="008C55A0"/>
    <w:rsid w:val="008C56E1"/>
    <w:rsid w:val="008C5726"/>
    <w:rsid w:val="008C573A"/>
    <w:rsid w:val="008C57B1"/>
    <w:rsid w:val="008C5CE3"/>
    <w:rsid w:val="008C66B1"/>
    <w:rsid w:val="008C68C9"/>
    <w:rsid w:val="008C6B69"/>
    <w:rsid w:val="008C6E7B"/>
    <w:rsid w:val="008C7194"/>
    <w:rsid w:val="008C7287"/>
    <w:rsid w:val="008C7549"/>
    <w:rsid w:val="008C77A6"/>
    <w:rsid w:val="008C7927"/>
    <w:rsid w:val="008C7D45"/>
    <w:rsid w:val="008D0269"/>
    <w:rsid w:val="008D08D2"/>
    <w:rsid w:val="008D0927"/>
    <w:rsid w:val="008D0B9B"/>
    <w:rsid w:val="008D0EFC"/>
    <w:rsid w:val="008D1056"/>
    <w:rsid w:val="008D1155"/>
    <w:rsid w:val="008D1204"/>
    <w:rsid w:val="008D128C"/>
    <w:rsid w:val="008D13DB"/>
    <w:rsid w:val="008D1409"/>
    <w:rsid w:val="008D1676"/>
    <w:rsid w:val="008D1E25"/>
    <w:rsid w:val="008D1F64"/>
    <w:rsid w:val="008D2195"/>
    <w:rsid w:val="008D2901"/>
    <w:rsid w:val="008D2BE8"/>
    <w:rsid w:val="008D2DF4"/>
    <w:rsid w:val="008D30FF"/>
    <w:rsid w:val="008D31D5"/>
    <w:rsid w:val="008D34ED"/>
    <w:rsid w:val="008D35E8"/>
    <w:rsid w:val="008D3CD8"/>
    <w:rsid w:val="008D3FD2"/>
    <w:rsid w:val="008D41EC"/>
    <w:rsid w:val="008D47DC"/>
    <w:rsid w:val="008D4D3C"/>
    <w:rsid w:val="008D4EDA"/>
    <w:rsid w:val="008D50C8"/>
    <w:rsid w:val="008D59EE"/>
    <w:rsid w:val="008D5E05"/>
    <w:rsid w:val="008D6062"/>
    <w:rsid w:val="008D60BC"/>
    <w:rsid w:val="008D624F"/>
    <w:rsid w:val="008D6313"/>
    <w:rsid w:val="008D6349"/>
    <w:rsid w:val="008D67B1"/>
    <w:rsid w:val="008D6A5A"/>
    <w:rsid w:val="008D6AE3"/>
    <w:rsid w:val="008D6BC2"/>
    <w:rsid w:val="008D6D66"/>
    <w:rsid w:val="008D6FE4"/>
    <w:rsid w:val="008D773C"/>
    <w:rsid w:val="008D77FB"/>
    <w:rsid w:val="008D7905"/>
    <w:rsid w:val="008D7986"/>
    <w:rsid w:val="008D7B37"/>
    <w:rsid w:val="008D7F49"/>
    <w:rsid w:val="008D7F6A"/>
    <w:rsid w:val="008E02F0"/>
    <w:rsid w:val="008E03F9"/>
    <w:rsid w:val="008E053B"/>
    <w:rsid w:val="008E0ABC"/>
    <w:rsid w:val="008E11A5"/>
    <w:rsid w:val="008E1B10"/>
    <w:rsid w:val="008E1E13"/>
    <w:rsid w:val="008E2299"/>
    <w:rsid w:val="008E2AAF"/>
    <w:rsid w:val="008E2CF6"/>
    <w:rsid w:val="008E2FAC"/>
    <w:rsid w:val="008E3617"/>
    <w:rsid w:val="008E374A"/>
    <w:rsid w:val="008E37FD"/>
    <w:rsid w:val="008E3C47"/>
    <w:rsid w:val="008E3CF1"/>
    <w:rsid w:val="008E3D19"/>
    <w:rsid w:val="008E3DDC"/>
    <w:rsid w:val="008E41BE"/>
    <w:rsid w:val="008E45DA"/>
    <w:rsid w:val="008E4EDB"/>
    <w:rsid w:val="008E554C"/>
    <w:rsid w:val="008E5829"/>
    <w:rsid w:val="008E5C19"/>
    <w:rsid w:val="008E5CF8"/>
    <w:rsid w:val="008E5FAD"/>
    <w:rsid w:val="008E611A"/>
    <w:rsid w:val="008E64FF"/>
    <w:rsid w:val="008E690E"/>
    <w:rsid w:val="008E6D0A"/>
    <w:rsid w:val="008E6DFF"/>
    <w:rsid w:val="008E70EE"/>
    <w:rsid w:val="008E7343"/>
    <w:rsid w:val="008E75D1"/>
    <w:rsid w:val="008E7668"/>
    <w:rsid w:val="008E7727"/>
    <w:rsid w:val="008E78BB"/>
    <w:rsid w:val="008E7B79"/>
    <w:rsid w:val="008F04B2"/>
    <w:rsid w:val="008F0579"/>
    <w:rsid w:val="008F057C"/>
    <w:rsid w:val="008F087D"/>
    <w:rsid w:val="008F176E"/>
    <w:rsid w:val="008F1803"/>
    <w:rsid w:val="008F1C70"/>
    <w:rsid w:val="008F1F0B"/>
    <w:rsid w:val="008F28E4"/>
    <w:rsid w:val="008F2967"/>
    <w:rsid w:val="008F2E73"/>
    <w:rsid w:val="008F2F15"/>
    <w:rsid w:val="008F306E"/>
    <w:rsid w:val="008F33EF"/>
    <w:rsid w:val="008F36EC"/>
    <w:rsid w:val="008F39E5"/>
    <w:rsid w:val="008F405E"/>
    <w:rsid w:val="008F4230"/>
    <w:rsid w:val="008F459A"/>
    <w:rsid w:val="008F49E0"/>
    <w:rsid w:val="008F4CD5"/>
    <w:rsid w:val="008F530B"/>
    <w:rsid w:val="008F54E7"/>
    <w:rsid w:val="008F58F7"/>
    <w:rsid w:val="008F5BCF"/>
    <w:rsid w:val="008F60E3"/>
    <w:rsid w:val="008F6461"/>
    <w:rsid w:val="008F660A"/>
    <w:rsid w:val="008F6698"/>
    <w:rsid w:val="008F69DC"/>
    <w:rsid w:val="008F6D3A"/>
    <w:rsid w:val="008F6D85"/>
    <w:rsid w:val="008F6DFF"/>
    <w:rsid w:val="008F726E"/>
    <w:rsid w:val="008F75C1"/>
    <w:rsid w:val="008F7944"/>
    <w:rsid w:val="008F7A89"/>
    <w:rsid w:val="008F7D6D"/>
    <w:rsid w:val="008F7F56"/>
    <w:rsid w:val="009000D7"/>
    <w:rsid w:val="009000FB"/>
    <w:rsid w:val="00900202"/>
    <w:rsid w:val="00900234"/>
    <w:rsid w:val="009002CA"/>
    <w:rsid w:val="00900395"/>
    <w:rsid w:val="0090068A"/>
    <w:rsid w:val="009008B0"/>
    <w:rsid w:val="009008CC"/>
    <w:rsid w:val="00900B25"/>
    <w:rsid w:val="00900B68"/>
    <w:rsid w:val="00900CF9"/>
    <w:rsid w:val="00901404"/>
    <w:rsid w:val="00901760"/>
    <w:rsid w:val="0090191C"/>
    <w:rsid w:val="009019CC"/>
    <w:rsid w:val="00901A2C"/>
    <w:rsid w:val="00901A9C"/>
    <w:rsid w:val="009023B6"/>
    <w:rsid w:val="009023DA"/>
    <w:rsid w:val="009025EB"/>
    <w:rsid w:val="009026DB"/>
    <w:rsid w:val="00902977"/>
    <w:rsid w:val="009029E8"/>
    <w:rsid w:val="00902ED9"/>
    <w:rsid w:val="009030C6"/>
    <w:rsid w:val="009032D7"/>
    <w:rsid w:val="00903314"/>
    <w:rsid w:val="009034E5"/>
    <w:rsid w:val="00903502"/>
    <w:rsid w:val="00903EA6"/>
    <w:rsid w:val="00903FA9"/>
    <w:rsid w:val="00904005"/>
    <w:rsid w:val="0090407B"/>
    <w:rsid w:val="00904673"/>
    <w:rsid w:val="0090474D"/>
    <w:rsid w:val="009047BF"/>
    <w:rsid w:val="00904AB0"/>
    <w:rsid w:val="00904B64"/>
    <w:rsid w:val="00904F90"/>
    <w:rsid w:val="0090534D"/>
    <w:rsid w:val="00905EE8"/>
    <w:rsid w:val="0090610B"/>
    <w:rsid w:val="0090613B"/>
    <w:rsid w:val="00906596"/>
    <w:rsid w:val="009066F8"/>
    <w:rsid w:val="00906C85"/>
    <w:rsid w:val="009070D1"/>
    <w:rsid w:val="0090730E"/>
    <w:rsid w:val="00907462"/>
    <w:rsid w:val="00907BC8"/>
    <w:rsid w:val="00910077"/>
    <w:rsid w:val="009101A1"/>
    <w:rsid w:val="00910398"/>
    <w:rsid w:val="009105A9"/>
    <w:rsid w:val="00910B13"/>
    <w:rsid w:val="00910CD2"/>
    <w:rsid w:val="00910F55"/>
    <w:rsid w:val="00911151"/>
    <w:rsid w:val="009111F8"/>
    <w:rsid w:val="00911476"/>
    <w:rsid w:val="00911B2C"/>
    <w:rsid w:val="00911BD1"/>
    <w:rsid w:val="00911DBF"/>
    <w:rsid w:val="0091220A"/>
    <w:rsid w:val="00912769"/>
    <w:rsid w:val="009129DD"/>
    <w:rsid w:val="00912A4E"/>
    <w:rsid w:val="00913106"/>
    <w:rsid w:val="00913211"/>
    <w:rsid w:val="0091371F"/>
    <w:rsid w:val="009137E8"/>
    <w:rsid w:val="00913CAC"/>
    <w:rsid w:val="00913E89"/>
    <w:rsid w:val="00913F41"/>
    <w:rsid w:val="00914109"/>
    <w:rsid w:val="00914623"/>
    <w:rsid w:val="00914680"/>
    <w:rsid w:val="0091486A"/>
    <w:rsid w:val="00914DD9"/>
    <w:rsid w:val="0091527F"/>
    <w:rsid w:val="0091544B"/>
    <w:rsid w:val="009154EE"/>
    <w:rsid w:val="009155F9"/>
    <w:rsid w:val="009158B3"/>
    <w:rsid w:val="00915BAC"/>
    <w:rsid w:val="00915E9A"/>
    <w:rsid w:val="00916042"/>
    <w:rsid w:val="00916071"/>
    <w:rsid w:val="00916268"/>
    <w:rsid w:val="0091632A"/>
    <w:rsid w:val="00916571"/>
    <w:rsid w:val="009167F7"/>
    <w:rsid w:val="00916FFF"/>
    <w:rsid w:val="009172E0"/>
    <w:rsid w:val="009173D4"/>
    <w:rsid w:val="009178FA"/>
    <w:rsid w:val="00917B3A"/>
    <w:rsid w:val="00917B67"/>
    <w:rsid w:val="00917DE9"/>
    <w:rsid w:val="00917FAC"/>
    <w:rsid w:val="00920191"/>
    <w:rsid w:val="00920200"/>
    <w:rsid w:val="00920283"/>
    <w:rsid w:val="00920514"/>
    <w:rsid w:val="00920548"/>
    <w:rsid w:val="00920848"/>
    <w:rsid w:val="00920D8F"/>
    <w:rsid w:val="00920DD6"/>
    <w:rsid w:val="009210CC"/>
    <w:rsid w:val="00921126"/>
    <w:rsid w:val="0092117A"/>
    <w:rsid w:val="00921252"/>
    <w:rsid w:val="00921512"/>
    <w:rsid w:val="00921675"/>
    <w:rsid w:val="009218AE"/>
    <w:rsid w:val="009219F3"/>
    <w:rsid w:val="00921C68"/>
    <w:rsid w:val="00921E7D"/>
    <w:rsid w:val="00921F1A"/>
    <w:rsid w:val="00921FE6"/>
    <w:rsid w:val="0092225E"/>
    <w:rsid w:val="009222BB"/>
    <w:rsid w:val="009223C1"/>
    <w:rsid w:val="00922B51"/>
    <w:rsid w:val="00922D81"/>
    <w:rsid w:val="009230B9"/>
    <w:rsid w:val="00923491"/>
    <w:rsid w:val="009235FD"/>
    <w:rsid w:val="00923AD8"/>
    <w:rsid w:val="00923B21"/>
    <w:rsid w:val="00923CDA"/>
    <w:rsid w:val="00923E86"/>
    <w:rsid w:val="00924798"/>
    <w:rsid w:val="00924935"/>
    <w:rsid w:val="00924CCA"/>
    <w:rsid w:val="00924E5A"/>
    <w:rsid w:val="0092504B"/>
    <w:rsid w:val="0092506B"/>
    <w:rsid w:val="00925507"/>
    <w:rsid w:val="00925672"/>
    <w:rsid w:val="00925819"/>
    <w:rsid w:val="00925F99"/>
    <w:rsid w:val="00926009"/>
    <w:rsid w:val="00926067"/>
    <w:rsid w:val="00926231"/>
    <w:rsid w:val="009268D2"/>
    <w:rsid w:val="00926C37"/>
    <w:rsid w:val="00926DBA"/>
    <w:rsid w:val="00927578"/>
    <w:rsid w:val="009279AF"/>
    <w:rsid w:val="00927BA9"/>
    <w:rsid w:val="00927BAB"/>
    <w:rsid w:val="00927BFD"/>
    <w:rsid w:val="009301F9"/>
    <w:rsid w:val="0093025E"/>
    <w:rsid w:val="009302A1"/>
    <w:rsid w:val="009303BE"/>
    <w:rsid w:val="009304A0"/>
    <w:rsid w:val="0093052D"/>
    <w:rsid w:val="00930626"/>
    <w:rsid w:val="00930646"/>
    <w:rsid w:val="0093117E"/>
    <w:rsid w:val="00931345"/>
    <w:rsid w:val="00931571"/>
    <w:rsid w:val="009317AE"/>
    <w:rsid w:val="009318CB"/>
    <w:rsid w:val="0093217B"/>
    <w:rsid w:val="00932607"/>
    <w:rsid w:val="00932922"/>
    <w:rsid w:val="00932F68"/>
    <w:rsid w:val="00932F86"/>
    <w:rsid w:val="009335C4"/>
    <w:rsid w:val="0093361D"/>
    <w:rsid w:val="0093374E"/>
    <w:rsid w:val="00933D52"/>
    <w:rsid w:val="00933E82"/>
    <w:rsid w:val="009340C1"/>
    <w:rsid w:val="0093417C"/>
    <w:rsid w:val="00934241"/>
    <w:rsid w:val="00934295"/>
    <w:rsid w:val="0093443D"/>
    <w:rsid w:val="0093445F"/>
    <w:rsid w:val="0093468A"/>
    <w:rsid w:val="0093493E"/>
    <w:rsid w:val="00934DF3"/>
    <w:rsid w:val="00935215"/>
    <w:rsid w:val="00935819"/>
    <w:rsid w:val="00935978"/>
    <w:rsid w:val="00935DAB"/>
    <w:rsid w:val="009361C1"/>
    <w:rsid w:val="0093629C"/>
    <w:rsid w:val="009362AF"/>
    <w:rsid w:val="009365F1"/>
    <w:rsid w:val="0093664C"/>
    <w:rsid w:val="00936E22"/>
    <w:rsid w:val="00937B89"/>
    <w:rsid w:val="00937DBF"/>
    <w:rsid w:val="00937DFD"/>
    <w:rsid w:val="00940571"/>
    <w:rsid w:val="00940608"/>
    <w:rsid w:val="009406C6"/>
    <w:rsid w:val="0094076D"/>
    <w:rsid w:val="00940795"/>
    <w:rsid w:val="00940B83"/>
    <w:rsid w:val="00940B96"/>
    <w:rsid w:val="009410D4"/>
    <w:rsid w:val="009411B3"/>
    <w:rsid w:val="00941349"/>
    <w:rsid w:val="00941401"/>
    <w:rsid w:val="00941926"/>
    <w:rsid w:val="00941C72"/>
    <w:rsid w:val="009420A5"/>
    <w:rsid w:val="00942200"/>
    <w:rsid w:val="009424A8"/>
    <w:rsid w:val="0094252E"/>
    <w:rsid w:val="009427C0"/>
    <w:rsid w:val="0094293A"/>
    <w:rsid w:val="00942D4B"/>
    <w:rsid w:val="00943147"/>
    <w:rsid w:val="0094321B"/>
    <w:rsid w:val="0094352B"/>
    <w:rsid w:val="0094373F"/>
    <w:rsid w:val="00943A19"/>
    <w:rsid w:val="00943A53"/>
    <w:rsid w:val="009440DF"/>
    <w:rsid w:val="0094423A"/>
    <w:rsid w:val="009446CF"/>
    <w:rsid w:val="009454DF"/>
    <w:rsid w:val="009458A3"/>
    <w:rsid w:val="00945E43"/>
    <w:rsid w:val="00945FAA"/>
    <w:rsid w:val="00946317"/>
    <w:rsid w:val="0094647D"/>
    <w:rsid w:val="00946520"/>
    <w:rsid w:val="00946548"/>
    <w:rsid w:val="009466C8"/>
    <w:rsid w:val="00946796"/>
    <w:rsid w:val="00946AA3"/>
    <w:rsid w:val="00947289"/>
    <w:rsid w:val="009472D1"/>
    <w:rsid w:val="00947301"/>
    <w:rsid w:val="00947F75"/>
    <w:rsid w:val="00950305"/>
    <w:rsid w:val="009503BC"/>
    <w:rsid w:val="00950445"/>
    <w:rsid w:val="00950648"/>
    <w:rsid w:val="0095086D"/>
    <w:rsid w:val="00950B84"/>
    <w:rsid w:val="009511A1"/>
    <w:rsid w:val="00951560"/>
    <w:rsid w:val="009518B8"/>
    <w:rsid w:val="009519ED"/>
    <w:rsid w:val="00951E04"/>
    <w:rsid w:val="00951FFD"/>
    <w:rsid w:val="009523B6"/>
    <w:rsid w:val="009525A3"/>
    <w:rsid w:val="009525DD"/>
    <w:rsid w:val="009527B1"/>
    <w:rsid w:val="009527D0"/>
    <w:rsid w:val="00952835"/>
    <w:rsid w:val="00952BB5"/>
    <w:rsid w:val="0095366F"/>
    <w:rsid w:val="00953788"/>
    <w:rsid w:val="00953ADC"/>
    <w:rsid w:val="00953B66"/>
    <w:rsid w:val="00953CCC"/>
    <w:rsid w:val="00953DC7"/>
    <w:rsid w:val="0095467A"/>
    <w:rsid w:val="00954693"/>
    <w:rsid w:val="00954B0D"/>
    <w:rsid w:val="00954E7A"/>
    <w:rsid w:val="00954ED7"/>
    <w:rsid w:val="00955034"/>
    <w:rsid w:val="00955286"/>
    <w:rsid w:val="00955627"/>
    <w:rsid w:val="00955FE9"/>
    <w:rsid w:val="0095623F"/>
    <w:rsid w:val="0095636C"/>
    <w:rsid w:val="00956477"/>
    <w:rsid w:val="009566A2"/>
    <w:rsid w:val="009566AB"/>
    <w:rsid w:val="009568EF"/>
    <w:rsid w:val="00956CDE"/>
    <w:rsid w:val="00956CE0"/>
    <w:rsid w:val="009570E1"/>
    <w:rsid w:val="00957221"/>
    <w:rsid w:val="00957260"/>
    <w:rsid w:val="0095767B"/>
    <w:rsid w:val="00957AD4"/>
    <w:rsid w:val="00957DA4"/>
    <w:rsid w:val="00957FBB"/>
    <w:rsid w:val="00960305"/>
    <w:rsid w:val="00960B67"/>
    <w:rsid w:val="00960D49"/>
    <w:rsid w:val="0096105F"/>
    <w:rsid w:val="00961393"/>
    <w:rsid w:val="009617C6"/>
    <w:rsid w:val="00961AA5"/>
    <w:rsid w:val="00961B1A"/>
    <w:rsid w:val="00961D17"/>
    <w:rsid w:val="00961F52"/>
    <w:rsid w:val="00961F93"/>
    <w:rsid w:val="009621F8"/>
    <w:rsid w:val="00962381"/>
    <w:rsid w:val="009628F9"/>
    <w:rsid w:val="00962948"/>
    <w:rsid w:val="00962A8C"/>
    <w:rsid w:val="00962AE9"/>
    <w:rsid w:val="00963043"/>
    <w:rsid w:val="009631EF"/>
    <w:rsid w:val="009633BE"/>
    <w:rsid w:val="0096341C"/>
    <w:rsid w:val="00963468"/>
    <w:rsid w:val="00963844"/>
    <w:rsid w:val="00963BBB"/>
    <w:rsid w:val="00963CDA"/>
    <w:rsid w:val="00963CE4"/>
    <w:rsid w:val="009642AF"/>
    <w:rsid w:val="009642FB"/>
    <w:rsid w:val="009646F5"/>
    <w:rsid w:val="009647C8"/>
    <w:rsid w:val="00964B64"/>
    <w:rsid w:val="00964BA8"/>
    <w:rsid w:val="00964C6F"/>
    <w:rsid w:val="00964DB2"/>
    <w:rsid w:val="00964DE1"/>
    <w:rsid w:val="00964E34"/>
    <w:rsid w:val="00965648"/>
    <w:rsid w:val="009656C2"/>
    <w:rsid w:val="009656E0"/>
    <w:rsid w:val="009656E1"/>
    <w:rsid w:val="00965869"/>
    <w:rsid w:val="00966241"/>
    <w:rsid w:val="009662AF"/>
    <w:rsid w:val="00966791"/>
    <w:rsid w:val="00966A00"/>
    <w:rsid w:val="00967016"/>
    <w:rsid w:val="00967228"/>
    <w:rsid w:val="0096730F"/>
    <w:rsid w:val="00967684"/>
    <w:rsid w:val="00967722"/>
    <w:rsid w:val="009679EB"/>
    <w:rsid w:val="00967EA5"/>
    <w:rsid w:val="00970231"/>
    <w:rsid w:val="00970632"/>
    <w:rsid w:val="009706C0"/>
    <w:rsid w:val="00970F53"/>
    <w:rsid w:val="00971360"/>
    <w:rsid w:val="009713E6"/>
    <w:rsid w:val="009717D1"/>
    <w:rsid w:val="00971882"/>
    <w:rsid w:val="00971920"/>
    <w:rsid w:val="009720F2"/>
    <w:rsid w:val="00972B4D"/>
    <w:rsid w:val="00972C0F"/>
    <w:rsid w:val="00972C86"/>
    <w:rsid w:val="00973182"/>
    <w:rsid w:val="00973643"/>
    <w:rsid w:val="00973793"/>
    <w:rsid w:val="00973944"/>
    <w:rsid w:val="00975017"/>
    <w:rsid w:val="0097571B"/>
    <w:rsid w:val="00975746"/>
    <w:rsid w:val="00975899"/>
    <w:rsid w:val="00975A9F"/>
    <w:rsid w:val="00976458"/>
    <w:rsid w:val="009764B8"/>
    <w:rsid w:val="009765E1"/>
    <w:rsid w:val="00976732"/>
    <w:rsid w:val="00976F65"/>
    <w:rsid w:val="00977242"/>
    <w:rsid w:val="0097735D"/>
    <w:rsid w:val="00977426"/>
    <w:rsid w:val="00977676"/>
    <w:rsid w:val="00977CF9"/>
    <w:rsid w:val="00980131"/>
    <w:rsid w:val="0098039F"/>
    <w:rsid w:val="009805FA"/>
    <w:rsid w:val="00980718"/>
    <w:rsid w:val="00980763"/>
    <w:rsid w:val="0098089F"/>
    <w:rsid w:val="009808E7"/>
    <w:rsid w:val="00980E3F"/>
    <w:rsid w:val="009811A0"/>
    <w:rsid w:val="009813DC"/>
    <w:rsid w:val="00981961"/>
    <w:rsid w:val="00981B8D"/>
    <w:rsid w:val="00982287"/>
    <w:rsid w:val="00982461"/>
    <w:rsid w:val="00982602"/>
    <w:rsid w:val="00982785"/>
    <w:rsid w:val="0098290A"/>
    <w:rsid w:val="009829EA"/>
    <w:rsid w:val="00982C74"/>
    <w:rsid w:val="00982FA8"/>
    <w:rsid w:val="00982FC3"/>
    <w:rsid w:val="0098326B"/>
    <w:rsid w:val="009837AD"/>
    <w:rsid w:val="009837F3"/>
    <w:rsid w:val="00983AEF"/>
    <w:rsid w:val="00983C72"/>
    <w:rsid w:val="00983D99"/>
    <w:rsid w:val="00984227"/>
    <w:rsid w:val="00984530"/>
    <w:rsid w:val="00984722"/>
    <w:rsid w:val="00984746"/>
    <w:rsid w:val="009848FD"/>
    <w:rsid w:val="00984FB7"/>
    <w:rsid w:val="00985213"/>
    <w:rsid w:val="00985A63"/>
    <w:rsid w:val="00985B31"/>
    <w:rsid w:val="0098601E"/>
    <w:rsid w:val="0098654E"/>
    <w:rsid w:val="00986A03"/>
    <w:rsid w:val="00986AF8"/>
    <w:rsid w:val="00986D4E"/>
    <w:rsid w:val="00987114"/>
    <w:rsid w:val="00987265"/>
    <w:rsid w:val="009876E0"/>
    <w:rsid w:val="009902BA"/>
    <w:rsid w:val="00990339"/>
    <w:rsid w:val="00990708"/>
    <w:rsid w:val="00990F3D"/>
    <w:rsid w:val="009913BD"/>
    <w:rsid w:val="00991723"/>
    <w:rsid w:val="00991DCC"/>
    <w:rsid w:val="00991E0E"/>
    <w:rsid w:val="009922E5"/>
    <w:rsid w:val="00992312"/>
    <w:rsid w:val="009925A8"/>
    <w:rsid w:val="009925B8"/>
    <w:rsid w:val="009926B7"/>
    <w:rsid w:val="00992934"/>
    <w:rsid w:val="00992B57"/>
    <w:rsid w:val="00992D55"/>
    <w:rsid w:val="00992E75"/>
    <w:rsid w:val="00992FA0"/>
    <w:rsid w:val="00992FEA"/>
    <w:rsid w:val="009933FF"/>
    <w:rsid w:val="0099363A"/>
    <w:rsid w:val="0099371F"/>
    <w:rsid w:val="0099392F"/>
    <w:rsid w:val="00993A71"/>
    <w:rsid w:val="00993AD8"/>
    <w:rsid w:val="00993E80"/>
    <w:rsid w:val="00993EB7"/>
    <w:rsid w:val="0099410D"/>
    <w:rsid w:val="0099411D"/>
    <w:rsid w:val="00994203"/>
    <w:rsid w:val="0099438E"/>
    <w:rsid w:val="00994663"/>
    <w:rsid w:val="00994665"/>
    <w:rsid w:val="00994AF0"/>
    <w:rsid w:val="00994B7B"/>
    <w:rsid w:val="00994BFF"/>
    <w:rsid w:val="009953E3"/>
    <w:rsid w:val="009955DD"/>
    <w:rsid w:val="009957BA"/>
    <w:rsid w:val="0099593E"/>
    <w:rsid w:val="00995BED"/>
    <w:rsid w:val="00995DEA"/>
    <w:rsid w:val="00995E81"/>
    <w:rsid w:val="00996087"/>
    <w:rsid w:val="00996361"/>
    <w:rsid w:val="00996729"/>
    <w:rsid w:val="0099674F"/>
    <w:rsid w:val="009969F2"/>
    <w:rsid w:val="00996E5D"/>
    <w:rsid w:val="00997078"/>
    <w:rsid w:val="00997478"/>
    <w:rsid w:val="00997D6E"/>
    <w:rsid w:val="00997FB7"/>
    <w:rsid w:val="009A086B"/>
    <w:rsid w:val="009A0999"/>
    <w:rsid w:val="009A0A49"/>
    <w:rsid w:val="009A0AAC"/>
    <w:rsid w:val="009A0B87"/>
    <w:rsid w:val="009A0E08"/>
    <w:rsid w:val="009A0F73"/>
    <w:rsid w:val="009A106C"/>
    <w:rsid w:val="009A10B1"/>
    <w:rsid w:val="009A1BFF"/>
    <w:rsid w:val="009A1C2E"/>
    <w:rsid w:val="009A1CE8"/>
    <w:rsid w:val="009A202F"/>
    <w:rsid w:val="009A227B"/>
    <w:rsid w:val="009A2381"/>
    <w:rsid w:val="009A2389"/>
    <w:rsid w:val="009A23DB"/>
    <w:rsid w:val="009A2730"/>
    <w:rsid w:val="009A27D6"/>
    <w:rsid w:val="009A28C5"/>
    <w:rsid w:val="009A2930"/>
    <w:rsid w:val="009A2956"/>
    <w:rsid w:val="009A32A2"/>
    <w:rsid w:val="009A34D6"/>
    <w:rsid w:val="009A373A"/>
    <w:rsid w:val="009A3746"/>
    <w:rsid w:val="009A3B76"/>
    <w:rsid w:val="009A3DB7"/>
    <w:rsid w:val="009A3E27"/>
    <w:rsid w:val="009A40F3"/>
    <w:rsid w:val="009A4341"/>
    <w:rsid w:val="009A45C1"/>
    <w:rsid w:val="009A4891"/>
    <w:rsid w:val="009A48E7"/>
    <w:rsid w:val="009A4F56"/>
    <w:rsid w:val="009A4FF6"/>
    <w:rsid w:val="009A50A0"/>
    <w:rsid w:val="009A54A7"/>
    <w:rsid w:val="009A5715"/>
    <w:rsid w:val="009A5AC6"/>
    <w:rsid w:val="009A5C06"/>
    <w:rsid w:val="009A5DB8"/>
    <w:rsid w:val="009A5DF2"/>
    <w:rsid w:val="009A6104"/>
    <w:rsid w:val="009A6199"/>
    <w:rsid w:val="009A6B48"/>
    <w:rsid w:val="009A6CB2"/>
    <w:rsid w:val="009A6D14"/>
    <w:rsid w:val="009A6D5A"/>
    <w:rsid w:val="009A7044"/>
    <w:rsid w:val="009A70EE"/>
    <w:rsid w:val="009A7106"/>
    <w:rsid w:val="009A716B"/>
    <w:rsid w:val="009A75FC"/>
    <w:rsid w:val="009A7CAA"/>
    <w:rsid w:val="009A7CE4"/>
    <w:rsid w:val="009B0120"/>
    <w:rsid w:val="009B0188"/>
    <w:rsid w:val="009B0520"/>
    <w:rsid w:val="009B0553"/>
    <w:rsid w:val="009B057E"/>
    <w:rsid w:val="009B0598"/>
    <w:rsid w:val="009B079D"/>
    <w:rsid w:val="009B087A"/>
    <w:rsid w:val="009B0A87"/>
    <w:rsid w:val="009B0C8B"/>
    <w:rsid w:val="009B0D58"/>
    <w:rsid w:val="009B0EC9"/>
    <w:rsid w:val="009B112F"/>
    <w:rsid w:val="009B1142"/>
    <w:rsid w:val="009B14F7"/>
    <w:rsid w:val="009B1EB1"/>
    <w:rsid w:val="009B2377"/>
    <w:rsid w:val="009B23E4"/>
    <w:rsid w:val="009B271C"/>
    <w:rsid w:val="009B2836"/>
    <w:rsid w:val="009B2858"/>
    <w:rsid w:val="009B29A4"/>
    <w:rsid w:val="009B2C40"/>
    <w:rsid w:val="009B2E64"/>
    <w:rsid w:val="009B3211"/>
    <w:rsid w:val="009B3654"/>
    <w:rsid w:val="009B38BE"/>
    <w:rsid w:val="009B3904"/>
    <w:rsid w:val="009B3975"/>
    <w:rsid w:val="009B3D44"/>
    <w:rsid w:val="009B3DA7"/>
    <w:rsid w:val="009B3F89"/>
    <w:rsid w:val="009B44D1"/>
    <w:rsid w:val="009B4531"/>
    <w:rsid w:val="009B4E74"/>
    <w:rsid w:val="009B4EF8"/>
    <w:rsid w:val="009B4F5E"/>
    <w:rsid w:val="009B50F7"/>
    <w:rsid w:val="009B520F"/>
    <w:rsid w:val="009B5BE5"/>
    <w:rsid w:val="009B62B0"/>
    <w:rsid w:val="009B62E6"/>
    <w:rsid w:val="009B671E"/>
    <w:rsid w:val="009B6800"/>
    <w:rsid w:val="009B690A"/>
    <w:rsid w:val="009B6CCB"/>
    <w:rsid w:val="009B6DE1"/>
    <w:rsid w:val="009B70AE"/>
    <w:rsid w:val="009B725F"/>
    <w:rsid w:val="009B7584"/>
    <w:rsid w:val="009B7697"/>
    <w:rsid w:val="009B77B4"/>
    <w:rsid w:val="009B799F"/>
    <w:rsid w:val="009B7A66"/>
    <w:rsid w:val="009B7CB6"/>
    <w:rsid w:val="009B7DDB"/>
    <w:rsid w:val="009C042B"/>
    <w:rsid w:val="009C056A"/>
    <w:rsid w:val="009C09C9"/>
    <w:rsid w:val="009C0D8D"/>
    <w:rsid w:val="009C0DF4"/>
    <w:rsid w:val="009C1230"/>
    <w:rsid w:val="009C12DD"/>
    <w:rsid w:val="009C1476"/>
    <w:rsid w:val="009C16D1"/>
    <w:rsid w:val="009C16DB"/>
    <w:rsid w:val="009C1BF4"/>
    <w:rsid w:val="009C1CAC"/>
    <w:rsid w:val="009C22B6"/>
    <w:rsid w:val="009C260A"/>
    <w:rsid w:val="009C2ADA"/>
    <w:rsid w:val="009C2BBA"/>
    <w:rsid w:val="009C2CA4"/>
    <w:rsid w:val="009C2DDB"/>
    <w:rsid w:val="009C2DE3"/>
    <w:rsid w:val="009C3351"/>
    <w:rsid w:val="009C39AB"/>
    <w:rsid w:val="009C403F"/>
    <w:rsid w:val="009C42C6"/>
    <w:rsid w:val="009C44F8"/>
    <w:rsid w:val="009C454B"/>
    <w:rsid w:val="009C4563"/>
    <w:rsid w:val="009C472D"/>
    <w:rsid w:val="009C48AF"/>
    <w:rsid w:val="009C4BCD"/>
    <w:rsid w:val="009C4BF5"/>
    <w:rsid w:val="009C5717"/>
    <w:rsid w:val="009C5D02"/>
    <w:rsid w:val="009C5DDE"/>
    <w:rsid w:val="009C5FB2"/>
    <w:rsid w:val="009C6728"/>
    <w:rsid w:val="009C67F8"/>
    <w:rsid w:val="009C68A4"/>
    <w:rsid w:val="009C6D11"/>
    <w:rsid w:val="009C744E"/>
    <w:rsid w:val="009C7455"/>
    <w:rsid w:val="009C7517"/>
    <w:rsid w:val="009C760D"/>
    <w:rsid w:val="009C7CE3"/>
    <w:rsid w:val="009C7EDD"/>
    <w:rsid w:val="009C7FD6"/>
    <w:rsid w:val="009D03D5"/>
    <w:rsid w:val="009D04A0"/>
    <w:rsid w:val="009D0845"/>
    <w:rsid w:val="009D098E"/>
    <w:rsid w:val="009D0B05"/>
    <w:rsid w:val="009D0BD1"/>
    <w:rsid w:val="009D0C22"/>
    <w:rsid w:val="009D0CC3"/>
    <w:rsid w:val="009D0D1D"/>
    <w:rsid w:val="009D0F76"/>
    <w:rsid w:val="009D10A8"/>
    <w:rsid w:val="009D12A6"/>
    <w:rsid w:val="009D13C6"/>
    <w:rsid w:val="009D1623"/>
    <w:rsid w:val="009D1A1C"/>
    <w:rsid w:val="009D1B94"/>
    <w:rsid w:val="009D1E14"/>
    <w:rsid w:val="009D1F00"/>
    <w:rsid w:val="009D216E"/>
    <w:rsid w:val="009D2382"/>
    <w:rsid w:val="009D23B6"/>
    <w:rsid w:val="009D26FC"/>
    <w:rsid w:val="009D28A7"/>
    <w:rsid w:val="009D2DFC"/>
    <w:rsid w:val="009D2E73"/>
    <w:rsid w:val="009D2F41"/>
    <w:rsid w:val="009D32DF"/>
    <w:rsid w:val="009D3397"/>
    <w:rsid w:val="009D341A"/>
    <w:rsid w:val="009D3835"/>
    <w:rsid w:val="009D3968"/>
    <w:rsid w:val="009D3F35"/>
    <w:rsid w:val="009D40D8"/>
    <w:rsid w:val="009D4370"/>
    <w:rsid w:val="009D45F1"/>
    <w:rsid w:val="009D4A2A"/>
    <w:rsid w:val="009D4FEA"/>
    <w:rsid w:val="009D50C9"/>
    <w:rsid w:val="009D53C2"/>
    <w:rsid w:val="009D5559"/>
    <w:rsid w:val="009D56C8"/>
    <w:rsid w:val="009D5768"/>
    <w:rsid w:val="009D587A"/>
    <w:rsid w:val="009D5CC2"/>
    <w:rsid w:val="009D647E"/>
    <w:rsid w:val="009D6763"/>
    <w:rsid w:val="009D6CF2"/>
    <w:rsid w:val="009D6D1A"/>
    <w:rsid w:val="009D7227"/>
    <w:rsid w:val="009D7415"/>
    <w:rsid w:val="009D7863"/>
    <w:rsid w:val="009D7903"/>
    <w:rsid w:val="009D79E7"/>
    <w:rsid w:val="009D7E9B"/>
    <w:rsid w:val="009D7ED9"/>
    <w:rsid w:val="009D7F13"/>
    <w:rsid w:val="009D7FD4"/>
    <w:rsid w:val="009E0057"/>
    <w:rsid w:val="009E0515"/>
    <w:rsid w:val="009E05F3"/>
    <w:rsid w:val="009E0E55"/>
    <w:rsid w:val="009E0E95"/>
    <w:rsid w:val="009E1196"/>
    <w:rsid w:val="009E11C3"/>
    <w:rsid w:val="009E13ED"/>
    <w:rsid w:val="009E1734"/>
    <w:rsid w:val="009E177A"/>
    <w:rsid w:val="009E17BC"/>
    <w:rsid w:val="009E19DC"/>
    <w:rsid w:val="009E1A63"/>
    <w:rsid w:val="009E1C84"/>
    <w:rsid w:val="009E285D"/>
    <w:rsid w:val="009E2A09"/>
    <w:rsid w:val="009E34C6"/>
    <w:rsid w:val="009E359E"/>
    <w:rsid w:val="009E364A"/>
    <w:rsid w:val="009E368B"/>
    <w:rsid w:val="009E3700"/>
    <w:rsid w:val="009E3928"/>
    <w:rsid w:val="009E3AD4"/>
    <w:rsid w:val="009E3C78"/>
    <w:rsid w:val="009E43FE"/>
    <w:rsid w:val="009E46A7"/>
    <w:rsid w:val="009E476E"/>
    <w:rsid w:val="009E4C08"/>
    <w:rsid w:val="009E4C1C"/>
    <w:rsid w:val="009E4CB4"/>
    <w:rsid w:val="009E4E98"/>
    <w:rsid w:val="009E53E2"/>
    <w:rsid w:val="009E546F"/>
    <w:rsid w:val="009E5489"/>
    <w:rsid w:val="009E5F68"/>
    <w:rsid w:val="009E5FA3"/>
    <w:rsid w:val="009E6161"/>
    <w:rsid w:val="009E646C"/>
    <w:rsid w:val="009E6650"/>
    <w:rsid w:val="009E6818"/>
    <w:rsid w:val="009E6A46"/>
    <w:rsid w:val="009E6E16"/>
    <w:rsid w:val="009E6FE9"/>
    <w:rsid w:val="009E723B"/>
    <w:rsid w:val="009E7273"/>
    <w:rsid w:val="009E73CA"/>
    <w:rsid w:val="009E75FE"/>
    <w:rsid w:val="009E76B9"/>
    <w:rsid w:val="009E7924"/>
    <w:rsid w:val="009F00E9"/>
    <w:rsid w:val="009F048B"/>
    <w:rsid w:val="009F0617"/>
    <w:rsid w:val="009F08DD"/>
    <w:rsid w:val="009F0972"/>
    <w:rsid w:val="009F0C35"/>
    <w:rsid w:val="009F0EE1"/>
    <w:rsid w:val="009F16CC"/>
    <w:rsid w:val="009F1846"/>
    <w:rsid w:val="009F1878"/>
    <w:rsid w:val="009F1A6D"/>
    <w:rsid w:val="009F1ACB"/>
    <w:rsid w:val="009F1D4E"/>
    <w:rsid w:val="009F1D9D"/>
    <w:rsid w:val="009F1F08"/>
    <w:rsid w:val="009F1F67"/>
    <w:rsid w:val="009F20A5"/>
    <w:rsid w:val="009F22F5"/>
    <w:rsid w:val="009F2795"/>
    <w:rsid w:val="009F288B"/>
    <w:rsid w:val="009F2C2F"/>
    <w:rsid w:val="009F2D29"/>
    <w:rsid w:val="009F2DC0"/>
    <w:rsid w:val="009F2F9E"/>
    <w:rsid w:val="009F30FD"/>
    <w:rsid w:val="009F3147"/>
    <w:rsid w:val="009F325C"/>
    <w:rsid w:val="009F32C2"/>
    <w:rsid w:val="009F35D2"/>
    <w:rsid w:val="009F3861"/>
    <w:rsid w:val="009F394D"/>
    <w:rsid w:val="009F39BA"/>
    <w:rsid w:val="009F3BBC"/>
    <w:rsid w:val="009F3E8C"/>
    <w:rsid w:val="009F44D0"/>
    <w:rsid w:val="009F44E5"/>
    <w:rsid w:val="009F4745"/>
    <w:rsid w:val="009F48FA"/>
    <w:rsid w:val="009F49E1"/>
    <w:rsid w:val="009F4B1A"/>
    <w:rsid w:val="009F4DEF"/>
    <w:rsid w:val="009F4F5F"/>
    <w:rsid w:val="009F513A"/>
    <w:rsid w:val="009F5347"/>
    <w:rsid w:val="009F5459"/>
    <w:rsid w:val="009F59F6"/>
    <w:rsid w:val="009F5B0A"/>
    <w:rsid w:val="009F5C2B"/>
    <w:rsid w:val="009F5ECB"/>
    <w:rsid w:val="009F6102"/>
    <w:rsid w:val="009F6114"/>
    <w:rsid w:val="009F6270"/>
    <w:rsid w:val="009F64AA"/>
    <w:rsid w:val="009F66AD"/>
    <w:rsid w:val="009F6B3F"/>
    <w:rsid w:val="009F6DD8"/>
    <w:rsid w:val="009F715E"/>
    <w:rsid w:val="009F7712"/>
    <w:rsid w:val="009F776B"/>
    <w:rsid w:val="009F78AB"/>
    <w:rsid w:val="009F7901"/>
    <w:rsid w:val="009F7A4E"/>
    <w:rsid w:val="009F7A60"/>
    <w:rsid w:val="009F7B00"/>
    <w:rsid w:val="009F7D3E"/>
    <w:rsid w:val="009F7E9B"/>
    <w:rsid w:val="00A003CF"/>
    <w:rsid w:val="00A003D5"/>
    <w:rsid w:val="00A00507"/>
    <w:rsid w:val="00A0063A"/>
    <w:rsid w:val="00A006C8"/>
    <w:rsid w:val="00A0072F"/>
    <w:rsid w:val="00A00764"/>
    <w:rsid w:val="00A00C60"/>
    <w:rsid w:val="00A010F3"/>
    <w:rsid w:val="00A01134"/>
    <w:rsid w:val="00A012F9"/>
    <w:rsid w:val="00A01328"/>
    <w:rsid w:val="00A01A36"/>
    <w:rsid w:val="00A01C5E"/>
    <w:rsid w:val="00A01F5D"/>
    <w:rsid w:val="00A02209"/>
    <w:rsid w:val="00A024F6"/>
    <w:rsid w:val="00A0259D"/>
    <w:rsid w:val="00A0298B"/>
    <w:rsid w:val="00A03FCD"/>
    <w:rsid w:val="00A04609"/>
    <w:rsid w:val="00A04973"/>
    <w:rsid w:val="00A04987"/>
    <w:rsid w:val="00A04CB4"/>
    <w:rsid w:val="00A05550"/>
    <w:rsid w:val="00A057E4"/>
    <w:rsid w:val="00A05815"/>
    <w:rsid w:val="00A05C8A"/>
    <w:rsid w:val="00A0618E"/>
    <w:rsid w:val="00A062F3"/>
    <w:rsid w:val="00A0648C"/>
    <w:rsid w:val="00A06686"/>
    <w:rsid w:val="00A06874"/>
    <w:rsid w:val="00A068D7"/>
    <w:rsid w:val="00A06CA1"/>
    <w:rsid w:val="00A06EC5"/>
    <w:rsid w:val="00A07198"/>
    <w:rsid w:val="00A07527"/>
    <w:rsid w:val="00A07629"/>
    <w:rsid w:val="00A07B0E"/>
    <w:rsid w:val="00A07B28"/>
    <w:rsid w:val="00A07E2C"/>
    <w:rsid w:val="00A07FA2"/>
    <w:rsid w:val="00A1016D"/>
    <w:rsid w:val="00A10409"/>
    <w:rsid w:val="00A1048A"/>
    <w:rsid w:val="00A1080D"/>
    <w:rsid w:val="00A10E5E"/>
    <w:rsid w:val="00A10E76"/>
    <w:rsid w:val="00A10E88"/>
    <w:rsid w:val="00A10F39"/>
    <w:rsid w:val="00A10FAE"/>
    <w:rsid w:val="00A1182D"/>
    <w:rsid w:val="00A1251F"/>
    <w:rsid w:val="00A12D70"/>
    <w:rsid w:val="00A134FD"/>
    <w:rsid w:val="00A13525"/>
    <w:rsid w:val="00A13F26"/>
    <w:rsid w:val="00A14330"/>
    <w:rsid w:val="00A14722"/>
    <w:rsid w:val="00A150CC"/>
    <w:rsid w:val="00A15599"/>
    <w:rsid w:val="00A15970"/>
    <w:rsid w:val="00A15DF0"/>
    <w:rsid w:val="00A16032"/>
    <w:rsid w:val="00A161C5"/>
    <w:rsid w:val="00A161EE"/>
    <w:rsid w:val="00A166CD"/>
    <w:rsid w:val="00A16B0C"/>
    <w:rsid w:val="00A16BD3"/>
    <w:rsid w:val="00A16D35"/>
    <w:rsid w:val="00A170F9"/>
    <w:rsid w:val="00A171DA"/>
    <w:rsid w:val="00A17377"/>
    <w:rsid w:val="00A1766A"/>
    <w:rsid w:val="00A176BB"/>
    <w:rsid w:val="00A17703"/>
    <w:rsid w:val="00A1791C"/>
    <w:rsid w:val="00A17AC1"/>
    <w:rsid w:val="00A17EE9"/>
    <w:rsid w:val="00A17FA6"/>
    <w:rsid w:val="00A2020F"/>
    <w:rsid w:val="00A205BC"/>
    <w:rsid w:val="00A2107F"/>
    <w:rsid w:val="00A2171C"/>
    <w:rsid w:val="00A21803"/>
    <w:rsid w:val="00A21C62"/>
    <w:rsid w:val="00A21FDE"/>
    <w:rsid w:val="00A224F1"/>
    <w:rsid w:val="00A226A2"/>
    <w:rsid w:val="00A22734"/>
    <w:rsid w:val="00A22BCF"/>
    <w:rsid w:val="00A234AD"/>
    <w:rsid w:val="00A2382D"/>
    <w:rsid w:val="00A23A0C"/>
    <w:rsid w:val="00A23B17"/>
    <w:rsid w:val="00A244EA"/>
    <w:rsid w:val="00A2463D"/>
    <w:rsid w:val="00A24663"/>
    <w:rsid w:val="00A2475F"/>
    <w:rsid w:val="00A248E8"/>
    <w:rsid w:val="00A24A4D"/>
    <w:rsid w:val="00A24DDA"/>
    <w:rsid w:val="00A25042"/>
    <w:rsid w:val="00A25235"/>
    <w:rsid w:val="00A25698"/>
    <w:rsid w:val="00A25A7A"/>
    <w:rsid w:val="00A25DF7"/>
    <w:rsid w:val="00A265EB"/>
    <w:rsid w:val="00A26695"/>
    <w:rsid w:val="00A26A20"/>
    <w:rsid w:val="00A26E16"/>
    <w:rsid w:val="00A270C7"/>
    <w:rsid w:val="00A27428"/>
    <w:rsid w:val="00A2742A"/>
    <w:rsid w:val="00A274AD"/>
    <w:rsid w:val="00A278D4"/>
    <w:rsid w:val="00A27AFC"/>
    <w:rsid w:val="00A27C98"/>
    <w:rsid w:val="00A30763"/>
    <w:rsid w:val="00A30C8A"/>
    <w:rsid w:val="00A30F05"/>
    <w:rsid w:val="00A30FA6"/>
    <w:rsid w:val="00A31578"/>
    <w:rsid w:val="00A317FE"/>
    <w:rsid w:val="00A320DC"/>
    <w:rsid w:val="00A32234"/>
    <w:rsid w:val="00A3246F"/>
    <w:rsid w:val="00A3253F"/>
    <w:rsid w:val="00A327E1"/>
    <w:rsid w:val="00A327E4"/>
    <w:rsid w:val="00A3289F"/>
    <w:rsid w:val="00A32B2C"/>
    <w:rsid w:val="00A32EAE"/>
    <w:rsid w:val="00A32EFA"/>
    <w:rsid w:val="00A33974"/>
    <w:rsid w:val="00A33E05"/>
    <w:rsid w:val="00A34131"/>
    <w:rsid w:val="00A34332"/>
    <w:rsid w:val="00A344C9"/>
    <w:rsid w:val="00A3465B"/>
    <w:rsid w:val="00A34993"/>
    <w:rsid w:val="00A34AF0"/>
    <w:rsid w:val="00A34BE2"/>
    <w:rsid w:val="00A34C6A"/>
    <w:rsid w:val="00A34CBF"/>
    <w:rsid w:val="00A34CC1"/>
    <w:rsid w:val="00A350D7"/>
    <w:rsid w:val="00A35449"/>
    <w:rsid w:val="00A3562C"/>
    <w:rsid w:val="00A356D1"/>
    <w:rsid w:val="00A35934"/>
    <w:rsid w:val="00A359A0"/>
    <w:rsid w:val="00A359FE"/>
    <w:rsid w:val="00A35AB3"/>
    <w:rsid w:val="00A35AD6"/>
    <w:rsid w:val="00A36627"/>
    <w:rsid w:val="00A3664B"/>
    <w:rsid w:val="00A367AA"/>
    <w:rsid w:val="00A36B82"/>
    <w:rsid w:val="00A3732D"/>
    <w:rsid w:val="00A37C79"/>
    <w:rsid w:val="00A37E0C"/>
    <w:rsid w:val="00A37FAB"/>
    <w:rsid w:val="00A37FBE"/>
    <w:rsid w:val="00A402B4"/>
    <w:rsid w:val="00A40359"/>
    <w:rsid w:val="00A40742"/>
    <w:rsid w:val="00A40B9E"/>
    <w:rsid w:val="00A40E17"/>
    <w:rsid w:val="00A41632"/>
    <w:rsid w:val="00A41904"/>
    <w:rsid w:val="00A41F4C"/>
    <w:rsid w:val="00A41FB9"/>
    <w:rsid w:val="00A42819"/>
    <w:rsid w:val="00A42F44"/>
    <w:rsid w:val="00A4333E"/>
    <w:rsid w:val="00A43CAE"/>
    <w:rsid w:val="00A4402D"/>
    <w:rsid w:val="00A443C9"/>
    <w:rsid w:val="00A446D4"/>
    <w:rsid w:val="00A4477F"/>
    <w:rsid w:val="00A448DA"/>
    <w:rsid w:val="00A44B6D"/>
    <w:rsid w:val="00A44DB9"/>
    <w:rsid w:val="00A44FC6"/>
    <w:rsid w:val="00A459D8"/>
    <w:rsid w:val="00A45B77"/>
    <w:rsid w:val="00A45B8A"/>
    <w:rsid w:val="00A45CC2"/>
    <w:rsid w:val="00A46283"/>
    <w:rsid w:val="00A4653C"/>
    <w:rsid w:val="00A46855"/>
    <w:rsid w:val="00A47A5F"/>
    <w:rsid w:val="00A505AB"/>
    <w:rsid w:val="00A5068B"/>
    <w:rsid w:val="00A50D90"/>
    <w:rsid w:val="00A51050"/>
    <w:rsid w:val="00A511C6"/>
    <w:rsid w:val="00A516C7"/>
    <w:rsid w:val="00A517D6"/>
    <w:rsid w:val="00A52593"/>
    <w:rsid w:val="00A528FF"/>
    <w:rsid w:val="00A52BC4"/>
    <w:rsid w:val="00A52C3E"/>
    <w:rsid w:val="00A52CAB"/>
    <w:rsid w:val="00A52CC9"/>
    <w:rsid w:val="00A52EDB"/>
    <w:rsid w:val="00A52F30"/>
    <w:rsid w:val="00A5304F"/>
    <w:rsid w:val="00A531A0"/>
    <w:rsid w:val="00A531C8"/>
    <w:rsid w:val="00A53533"/>
    <w:rsid w:val="00A539FF"/>
    <w:rsid w:val="00A5413A"/>
    <w:rsid w:val="00A54A02"/>
    <w:rsid w:val="00A54B58"/>
    <w:rsid w:val="00A54B70"/>
    <w:rsid w:val="00A54C7E"/>
    <w:rsid w:val="00A54FDC"/>
    <w:rsid w:val="00A551BE"/>
    <w:rsid w:val="00A55291"/>
    <w:rsid w:val="00A55330"/>
    <w:rsid w:val="00A5602D"/>
    <w:rsid w:val="00A56063"/>
    <w:rsid w:val="00A56074"/>
    <w:rsid w:val="00A56240"/>
    <w:rsid w:val="00A564CE"/>
    <w:rsid w:val="00A564D1"/>
    <w:rsid w:val="00A56722"/>
    <w:rsid w:val="00A56BF8"/>
    <w:rsid w:val="00A56DBB"/>
    <w:rsid w:val="00A56E0F"/>
    <w:rsid w:val="00A5714F"/>
    <w:rsid w:val="00A57300"/>
    <w:rsid w:val="00A57439"/>
    <w:rsid w:val="00A57CBF"/>
    <w:rsid w:val="00A57E36"/>
    <w:rsid w:val="00A57FF1"/>
    <w:rsid w:val="00A6079C"/>
    <w:rsid w:val="00A608E2"/>
    <w:rsid w:val="00A609BB"/>
    <w:rsid w:val="00A60A09"/>
    <w:rsid w:val="00A60F96"/>
    <w:rsid w:val="00A60FD7"/>
    <w:rsid w:val="00A6117E"/>
    <w:rsid w:val="00A6167C"/>
    <w:rsid w:val="00A6173A"/>
    <w:rsid w:val="00A618D0"/>
    <w:rsid w:val="00A6196C"/>
    <w:rsid w:val="00A619C1"/>
    <w:rsid w:val="00A61BCC"/>
    <w:rsid w:val="00A61E2A"/>
    <w:rsid w:val="00A62398"/>
    <w:rsid w:val="00A62966"/>
    <w:rsid w:val="00A63312"/>
    <w:rsid w:val="00A63371"/>
    <w:rsid w:val="00A635F5"/>
    <w:rsid w:val="00A637DE"/>
    <w:rsid w:val="00A638FB"/>
    <w:rsid w:val="00A63CA0"/>
    <w:rsid w:val="00A63CD1"/>
    <w:rsid w:val="00A63F80"/>
    <w:rsid w:val="00A6424A"/>
    <w:rsid w:val="00A64320"/>
    <w:rsid w:val="00A64B4F"/>
    <w:rsid w:val="00A64D73"/>
    <w:rsid w:val="00A64FE1"/>
    <w:rsid w:val="00A656B9"/>
    <w:rsid w:val="00A65DBE"/>
    <w:rsid w:val="00A65F85"/>
    <w:rsid w:val="00A661BC"/>
    <w:rsid w:val="00A6640F"/>
    <w:rsid w:val="00A6684B"/>
    <w:rsid w:val="00A66AAB"/>
    <w:rsid w:val="00A66AC0"/>
    <w:rsid w:val="00A66BEA"/>
    <w:rsid w:val="00A66C85"/>
    <w:rsid w:val="00A66FF6"/>
    <w:rsid w:val="00A674BC"/>
    <w:rsid w:val="00A676CA"/>
    <w:rsid w:val="00A676D0"/>
    <w:rsid w:val="00A676E4"/>
    <w:rsid w:val="00A677D5"/>
    <w:rsid w:val="00A67B97"/>
    <w:rsid w:val="00A67CF3"/>
    <w:rsid w:val="00A67EDE"/>
    <w:rsid w:val="00A700AF"/>
    <w:rsid w:val="00A703ED"/>
    <w:rsid w:val="00A7045A"/>
    <w:rsid w:val="00A704E3"/>
    <w:rsid w:val="00A70574"/>
    <w:rsid w:val="00A70A83"/>
    <w:rsid w:val="00A70AB4"/>
    <w:rsid w:val="00A70BCD"/>
    <w:rsid w:val="00A70D19"/>
    <w:rsid w:val="00A71200"/>
    <w:rsid w:val="00A712DE"/>
    <w:rsid w:val="00A712FB"/>
    <w:rsid w:val="00A71586"/>
    <w:rsid w:val="00A7197D"/>
    <w:rsid w:val="00A719C3"/>
    <w:rsid w:val="00A72045"/>
    <w:rsid w:val="00A72141"/>
    <w:rsid w:val="00A7243E"/>
    <w:rsid w:val="00A7248B"/>
    <w:rsid w:val="00A725AC"/>
    <w:rsid w:val="00A730EC"/>
    <w:rsid w:val="00A7344B"/>
    <w:rsid w:val="00A73FD5"/>
    <w:rsid w:val="00A742F7"/>
    <w:rsid w:val="00A7447C"/>
    <w:rsid w:val="00A745DA"/>
    <w:rsid w:val="00A747A3"/>
    <w:rsid w:val="00A74F54"/>
    <w:rsid w:val="00A75511"/>
    <w:rsid w:val="00A759DD"/>
    <w:rsid w:val="00A75A7D"/>
    <w:rsid w:val="00A75A8D"/>
    <w:rsid w:val="00A75A9A"/>
    <w:rsid w:val="00A75E7B"/>
    <w:rsid w:val="00A76184"/>
    <w:rsid w:val="00A763A0"/>
    <w:rsid w:val="00A76935"/>
    <w:rsid w:val="00A76959"/>
    <w:rsid w:val="00A76BD5"/>
    <w:rsid w:val="00A76E1C"/>
    <w:rsid w:val="00A77116"/>
    <w:rsid w:val="00A77260"/>
    <w:rsid w:val="00A773CA"/>
    <w:rsid w:val="00A77749"/>
    <w:rsid w:val="00A77C0D"/>
    <w:rsid w:val="00A77C4D"/>
    <w:rsid w:val="00A77D26"/>
    <w:rsid w:val="00A77F39"/>
    <w:rsid w:val="00A77F91"/>
    <w:rsid w:val="00A77FB0"/>
    <w:rsid w:val="00A80591"/>
    <w:rsid w:val="00A8059A"/>
    <w:rsid w:val="00A80697"/>
    <w:rsid w:val="00A80AC3"/>
    <w:rsid w:val="00A80FFC"/>
    <w:rsid w:val="00A8101B"/>
    <w:rsid w:val="00A81A40"/>
    <w:rsid w:val="00A81CE9"/>
    <w:rsid w:val="00A821F5"/>
    <w:rsid w:val="00A823C2"/>
    <w:rsid w:val="00A823DD"/>
    <w:rsid w:val="00A8253C"/>
    <w:rsid w:val="00A825C0"/>
    <w:rsid w:val="00A82893"/>
    <w:rsid w:val="00A82980"/>
    <w:rsid w:val="00A83131"/>
    <w:rsid w:val="00A83302"/>
    <w:rsid w:val="00A834C8"/>
    <w:rsid w:val="00A8357D"/>
    <w:rsid w:val="00A83F17"/>
    <w:rsid w:val="00A840FC"/>
    <w:rsid w:val="00A8473D"/>
    <w:rsid w:val="00A848C5"/>
    <w:rsid w:val="00A84BAA"/>
    <w:rsid w:val="00A84C90"/>
    <w:rsid w:val="00A84D3C"/>
    <w:rsid w:val="00A84FE0"/>
    <w:rsid w:val="00A855F9"/>
    <w:rsid w:val="00A85781"/>
    <w:rsid w:val="00A85814"/>
    <w:rsid w:val="00A85A32"/>
    <w:rsid w:val="00A86302"/>
    <w:rsid w:val="00A864DF"/>
    <w:rsid w:val="00A864E8"/>
    <w:rsid w:val="00A86B8F"/>
    <w:rsid w:val="00A86D14"/>
    <w:rsid w:val="00A86E01"/>
    <w:rsid w:val="00A8705D"/>
    <w:rsid w:val="00A87220"/>
    <w:rsid w:val="00A87519"/>
    <w:rsid w:val="00A87A70"/>
    <w:rsid w:val="00A87C6C"/>
    <w:rsid w:val="00A906CB"/>
    <w:rsid w:val="00A90721"/>
    <w:rsid w:val="00A90764"/>
    <w:rsid w:val="00A9079A"/>
    <w:rsid w:val="00A90860"/>
    <w:rsid w:val="00A909C0"/>
    <w:rsid w:val="00A909FC"/>
    <w:rsid w:val="00A90A13"/>
    <w:rsid w:val="00A90BF5"/>
    <w:rsid w:val="00A90CE9"/>
    <w:rsid w:val="00A913FF"/>
    <w:rsid w:val="00A916D5"/>
    <w:rsid w:val="00A918E9"/>
    <w:rsid w:val="00A919F6"/>
    <w:rsid w:val="00A91AAA"/>
    <w:rsid w:val="00A91D6F"/>
    <w:rsid w:val="00A92018"/>
    <w:rsid w:val="00A92033"/>
    <w:rsid w:val="00A921DF"/>
    <w:rsid w:val="00A92813"/>
    <w:rsid w:val="00A92A20"/>
    <w:rsid w:val="00A92C05"/>
    <w:rsid w:val="00A93159"/>
    <w:rsid w:val="00A93355"/>
    <w:rsid w:val="00A9374E"/>
    <w:rsid w:val="00A937C8"/>
    <w:rsid w:val="00A937D0"/>
    <w:rsid w:val="00A938EB"/>
    <w:rsid w:val="00A93E81"/>
    <w:rsid w:val="00A9403F"/>
    <w:rsid w:val="00A940C0"/>
    <w:rsid w:val="00A94752"/>
    <w:rsid w:val="00A94AEC"/>
    <w:rsid w:val="00A94BA4"/>
    <w:rsid w:val="00A94D52"/>
    <w:rsid w:val="00A94F73"/>
    <w:rsid w:val="00A95824"/>
    <w:rsid w:val="00A959B2"/>
    <w:rsid w:val="00A95EE5"/>
    <w:rsid w:val="00A960D3"/>
    <w:rsid w:val="00A960E0"/>
    <w:rsid w:val="00A96149"/>
    <w:rsid w:val="00A9674C"/>
    <w:rsid w:val="00A96775"/>
    <w:rsid w:val="00A96CAF"/>
    <w:rsid w:val="00A97359"/>
    <w:rsid w:val="00A97C37"/>
    <w:rsid w:val="00A97E6E"/>
    <w:rsid w:val="00AA055C"/>
    <w:rsid w:val="00AA0738"/>
    <w:rsid w:val="00AA0D2A"/>
    <w:rsid w:val="00AA1061"/>
    <w:rsid w:val="00AA16FB"/>
    <w:rsid w:val="00AA183E"/>
    <w:rsid w:val="00AA1894"/>
    <w:rsid w:val="00AA18DD"/>
    <w:rsid w:val="00AA1A3E"/>
    <w:rsid w:val="00AA1A68"/>
    <w:rsid w:val="00AA1E67"/>
    <w:rsid w:val="00AA21F2"/>
    <w:rsid w:val="00AA22C1"/>
    <w:rsid w:val="00AA23B4"/>
    <w:rsid w:val="00AA23EE"/>
    <w:rsid w:val="00AA25BF"/>
    <w:rsid w:val="00AA29E4"/>
    <w:rsid w:val="00AA2CCD"/>
    <w:rsid w:val="00AA2CCE"/>
    <w:rsid w:val="00AA2D1A"/>
    <w:rsid w:val="00AA2F68"/>
    <w:rsid w:val="00AA3083"/>
    <w:rsid w:val="00AA3530"/>
    <w:rsid w:val="00AA39FE"/>
    <w:rsid w:val="00AA3BDE"/>
    <w:rsid w:val="00AA3F45"/>
    <w:rsid w:val="00AA43CC"/>
    <w:rsid w:val="00AA44A1"/>
    <w:rsid w:val="00AA4503"/>
    <w:rsid w:val="00AA4807"/>
    <w:rsid w:val="00AA4840"/>
    <w:rsid w:val="00AA4C74"/>
    <w:rsid w:val="00AA4CF2"/>
    <w:rsid w:val="00AA4CFA"/>
    <w:rsid w:val="00AA5335"/>
    <w:rsid w:val="00AA550A"/>
    <w:rsid w:val="00AA5777"/>
    <w:rsid w:val="00AA57EA"/>
    <w:rsid w:val="00AA57F9"/>
    <w:rsid w:val="00AA58F0"/>
    <w:rsid w:val="00AA595C"/>
    <w:rsid w:val="00AA5CA6"/>
    <w:rsid w:val="00AA5FAC"/>
    <w:rsid w:val="00AA6155"/>
    <w:rsid w:val="00AA677A"/>
    <w:rsid w:val="00AA677E"/>
    <w:rsid w:val="00AA6910"/>
    <w:rsid w:val="00AA6A17"/>
    <w:rsid w:val="00AA6BC8"/>
    <w:rsid w:val="00AA6EF0"/>
    <w:rsid w:val="00AA6F2D"/>
    <w:rsid w:val="00AA70D3"/>
    <w:rsid w:val="00AA71A0"/>
    <w:rsid w:val="00AA7517"/>
    <w:rsid w:val="00AA752B"/>
    <w:rsid w:val="00AA79AA"/>
    <w:rsid w:val="00AA7B32"/>
    <w:rsid w:val="00AA7C78"/>
    <w:rsid w:val="00AA7C7E"/>
    <w:rsid w:val="00AA7D87"/>
    <w:rsid w:val="00AB001E"/>
    <w:rsid w:val="00AB0577"/>
    <w:rsid w:val="00AB060A"/>
    <w:rsid w:val="00AB0A0D"/>
    <w:rsid w:val="00AB0E17"/>
    <w:rsid w:val="00AB1355"/>
    <w:rsid w:val="00AB1972"/>
    <w:rsid w:val="00AB1A4F"/>
    <w:rsid w:val="00AB1A7A"/>
    <w:rsid w:val="00AB1AE4"/>
    <w:rsid w:val="00AB1C15"/>
    <w:rsid w:val="00AB208C"/>
    <w:rsid w:val="00AB20D2"/>
    <w:rsid w:val="00AB2110"/>
    <w:rsid w:val="00AB220A"/>
    <w:rsid w:val="00AB245B"/>
    <w:rsid w:val="00AB288A"/>
    <w:rsid w:val="00AB2E7E"/>
    <w:rsid w:val="00AB32A1"/>
    <w:rsid w:val="00AB36FF"/>
    <w:rsid w:val="00AB3B86"/>
    <w:rsid w:val="00AB40E3"/>
    <w:rsid w:val="00AB4169"/>
    <w:rsid w:val="00AB4524"/>
    <w:rsid w:val="00AB46BD"/>
    <w:rsid w:val="00AB4D8B"/>
    <w:rsid w:val="00AB515B"/>
    <w:rsid w:val="00AB57DE"/>
    <w:rsid w:val="00AB5C0B"/>
    <w:rsid w:val="00AB5F9A"/>
    <w:rsid w:val="00AB6029"/>
    <w:rsid w:val="00AB609C"/>
    <w:rsid w:val="00AB6170"/>
    <w:rsid w:val="00AB63D3"/>
    <w:rsid w:val="00AB642F"/>
    <w:rsid w:val="00AB6BFF"/>
    <w:rsid w:val="00AB6C02"/>
    <w:rsid w:val="00AB6E6B"/>
    <w:rsid w:val="00AB7132"/>
    <w:rsid w:val="00AB7140"/>
    <w:rsid w:val="00AB74FA"/>
    <w:rsid w:val="00AB756B"/>
    <w:rsid w:val="00AB75CA"/>
    <w:rsid w:val="00AB7CBB"/>
    <w:rsid w:val="00AB7EC1"/>
    <w:rsid w:val="00AC0232"/>
    <w:rsid w:val="00AC02D0"/>
    <w:rsid w:val="00AC0552"/>
    <w:rsid w:val="00AC0AA4"/>
    <w:rsid w:val="00AC1096"/>
    <w:rsid w:val="00AC11D0"/>
    <w:rsid w:val="00AC1D04"/>
    <w:rsid w:val="00AC258C"/>
    <w:rsid w:val="00AC2910"/>
    <w:rsid w:val="00AC29CB"/>
    <w:rsid w:val="00AC2A35"/>
    <w:rsid w:val="00AC2A8A"/>
    <w:rsid w:val="00AC2AEA"/>
    <w:rsid w:val="00AC2B72"/>
    <w:rsid w:val="00AC2D63"/>
    <w:rsid w:val="00AC2D88"/>
    <w:rsid w:val="00AC2DB5"/>
    <w:rsid w:val="00AC310F"/>
    <w:rsid w:val="00AC3111"/>
    <w:rsid w:val="00AC3704"/>
    <w:rsid w:val="00AC371F"/>
    <w:rsid w:val="00AC3A74"/>
    <w:rsid w:val="00AC3C73"/>
    <w:rsid w:val="00AC3EEA"/>
    <w:rsid w:val="00AC3F11"/>
    <w:rsid w:val="00AC40FA"/>
    <w:rsid w:val="00AC421D"/>
    <w:rsid w:val="00AC44F1"/>
    <w:rsid w:val="00AC464A"/>
    <w:rsid w:val="00AC4827"/>
    <w:rsid w:val="00AC4DB8"/>
    <w:rsid w:val="00AC50B4"/>
    <w:rsid w:val="00AC540D"/>
    <w:rsid w:val="00AC5436"/>
    <w:rsid w:val="00AC5727"/>
    <w:rsid w:val="00AC58F5"/>
    <w:rsid w:val="00AC59DE"/>
    <w:rsid w:val="00AC5A91"/>
    <w:rsid w:val="00AC5BE1"/>
    <w:rsid w:val="00AC602F"/>
    <w:rsid w:val="00AC63DB"/>
    <w:rsid w:val="00AC65BB"/>
    <w:rsid w:val="00AC6729"/>
    <w:rsid w:val="00AC6908"/>
    <w:rsid w:val="00AC6EA6"/>
    <w:rsid w:val="00AC73A0"/>
    <w:rsid w:val="00AC7AF3"/>
    <w:rsid w:val="00AC7BE0"/>
    <w:rsid w:val="00AC7C86"/>
    <w:rsid w:val="00AC7CCB"/>
    <w:rsid w:val="00AD0411"/>
    <w:rsid w:val="00AD0434"/>
    <w:rsid w:val="00AD0439"/>
    <w:rsid w:val="00AD068C"/>
    <w:rsid w:val="00AD0794"/>
    <w:rsid w:val="00AD08A6"/>
    <w:rsid w:val="00AD11E1"/>
    <w:rsid w:val="00AD140C"/>
    <w:rsid w:val="00AD17F5"/>
    <w:rsid w:val="00AD1939"/>
    <w:rsid w:val="00AD194F"/>
    <w:rsid w:val="00AD1A30"/>
    <w:rsid w:val="00AD2349"/>
    <w:rsid w:val="00AD2FBC"/>
    <w:rsid w:val="00AD3193"/>
    <w:rsid w:val="00AD31EF"/>
    <w:rsid w:val="00AD335B"/>
    <w:rsid w:val="00AD3376"/>
    <w:rsid w:val="00AD38A4"/>
    <w:rsid w:val="00AD38F5"/>
    <w:rsid w:val="00AD3FBD"/>
    <w:rsid w:val="00AD487A"/>
    <w:rsid w:val="00AD4F5A"/>
    <w:rsid w:val="00AD505F"/>
    <w:rsid w:val="00AD5386"/>
    <w:rsid w:val="00AD5457"/>
    <w:rsid w:val="00AD5514"/>
    <w:rsid w:val="00AD58A7"/>
    <w:rsid w:val="00AD5AF7"/>
    <w:rsid w:val="00AD5D26"/>
    <w:rsid w:val="00AD5EBE"/>
    <w:rsid w:val="00AD60DE"/>
    <w:rsid w:val="00AD686E"/>
    <w:rsid w:val="00AD6BA0"/>
    <w:rsid w:val="00AD6C0A"/>
    <w:rsid w:val="00AD6D26"/>
    <w:rsid w:val="00AD6FEF"/>
    <w:rsid w:val="00AD7283"/>
    <w:rsid w:val="00AD74B8"/>
    <w:rsid w:val="00AD764A"/>
    <w:rsid w:val="00AD788D"/>
    <w:rsid w:val="00AD7DC8"/>
    <w:rsid w:val="00AD7FFA"/>
    <w:rsid w:val="00AE0035"/>
    <w:rsid w:val="00AE02F7"/>
    <w:rsid w:val="00AE03A9"/>
    <w:rsid w:val="00AE05B3"/>
    <w:rsid w:val="00AE0A6F"/>
    <w:rsid w:val="00AE0F01"/>
    <w:rsid w:val="00AE146B"/>
    <w:rsid w:val="00AE147A"/>
    <w:rsid w:val="00AE1866"/>
    <w:rsid w:val="00AE19E4"/>
    <w:rsid w:val="00AE1C27"/>
    <w:rsid w:val="00AE1D07"/>
    <w:rsid w:val="00AE1D8D"/>
    <w:rsid w:val="00AE1E60"/>
    <w:rsid w:val="00AE1F4A"/>
    <w:rsid w:val="00AE2045"/>
    <w:rsid w:val="00AE2129"/>
    <w:rsid w:val="00AE25D1"/>
    <w:rsid w:val="00AE25F1"/>
    <w:rsid w:val="00AE271D"/>
    <w:rsid w:val="00AE2727"/>
    <w:rsid w:val="00AE27FA"/>
    <w:rsid w:val="00AE2A75"/>
    <w:rsid w:val="00AE32AB"/>
    <w:rsid w:val="00AE35B6"/>
    <w:rsid w:val="00AE3AE3"/>
    <w:rsid w:val="00AE3AED"/>
    <w:rsid w:val="00AE40D1"/>
    <w:rsid w:val="00AE413F"/>
    <w:rsid w:val="00AE4966"/>
    <w:rsid w:val="00AE5145"/>
    <w:rsid w:val="00AE51C4"/>
    <w:rsid w:val="00AE56FE"/>
    <w:rsid w:val="00AE584C"/>
    <w:rsid w:val="00AE5C72"/>
    <w:rsid w:val="00AE5F39"/>
    <w:rsid w:val="00AE6044"/>
    <w:rsid w:val="00AE617A"/>
    <w:rsid w:val="00AE61EF"/>
    <w:rsid w:val="00AE630C"/>
    <w:rsid w:val="00AE6471"/>
    <w:rsid w:val="00AE695C"/>
    <w:rsid w:val="00AE6D1E"/>
    <w:rsid w:val="00AE6DA9"/>
    <w:rsid w:val="00AE6F52"/>
    <w:rsid w:val="00AE7186"/>
    <w:rsid w:val="00AE726D"/>
    <w:rsid w:val="00AE7674"/>
    <w:rsid w:val="00AE7A6A"/>
    <w:rsid w:val="00AE7BBB"/>
    <w:rsid w:val="00AF081A"/>
    <w:rsid w:val="00AF0824"/>
    <w:rsid w:val="00AF084F"/>
    <w:rsid w:val="00AF09B4"/>
    <w:rsid w:val="00AF0A66"/>
    <w:rsid w:val="00AF0C9B"/>
    <w:rsid w:val="00AF1182"/>
    <w:rsid w:val="00AF140F"/>
    <w:rsid w:val="00AF14E7"/>
    <w:rsid w:val="00AF1827"/>
    <w:rsid w:val="00AF18DD"/>
    <w:rsid w:val="00AF192B"/>
    <w:rsid w:val="00AF1B3F"/>
    <w:rsid w:val="00AF1B80"/>
    <w:rsid w:val="00AF1CDA"/>
    <w:rsid w:val="00AF1E12"/>
    <w:rsid w:val="00AF22AF"/>
    <w:rsid w:val="00AF243E"/>
    <w:rsid w:val="00AF2AF4"/>
    <w:rsid w:val="00AF301D"/>
    <w:rsid w:val="00AF3033"/>
    <w:rsid w:val="00AF32FB"/>
    <w:rsid w:val="00AF33D3"/>
    <w:rsid w:val="00AF37FD"/>
    <w:rsid w:val="00AF3B04"/>
    <w:rsid w:val="00AF3DAB"/>
    <w:rsid w:val="00AF3FB3"/>
    <w:rsid w:val="00AF4CA7"/>
    <w:rsid w:val="00AF504E"/>
    <w:rsid w:val="00AF5125"/>
    <w:rsid w:val="00AF53FB"/>
    <w:rsid w:val="00AF564B"/>
    <w:rsid w:val="00AF56AB"/>
    <w:rsid w:val="00AF5A1D"/>
    <w:rsid w:val="00AF5AD1"/>
    <w:rsid w:val="00AF5D4C"/>
    <w:rsid w:val="00AF6060"/>
    <w:rsid w:val="00AF630F"/>
    <w:rsid w:val="00AF632D"/>
    <w:rsid w:val="00AF653F"/>
    <w:rsid w:val="00AF6952"/>
    <w:rsid w:val="00AF6DA1"/>
    <w:rsid w:val="00AF6DDA"/>
    <w:rsid w:val="00AF7192"/>
    <w:rsid w:val="00AF772E"/>
    <w:rsid w:val="00AF7ACC"/>
    <w:rsid w:val="00AF7C83"/>
    <w:rsid w:val="00AF7D13"/>
    <w:rsid w:val="00AF7E25"/>
    <w:rsid w:val="00B0000B"/>
    <w:rsid w:val="00B002E6"/>
    <w:rsid w:val="00B0040D"/>
    <w:rsid w:val="00B007D9"/>
    <w:rsid w:val="00B00924"/>
    <w:rsid w:val="00B00BD6"/>
    <w:rsid w:val="00B01124"/>
    <w:rsid w:val="00B011F6"/>
    <w:rsid w:val="00B01367"/>
    <w:rsid w:val="00B01519"/>
    <w:rsid w:val="00B01595"/>
    <w:rsid w:val="00B016A0"/>
    <w:rsid w:val="00B01718"/>
    <w:rsid w:val="00B01F5F"/>
    <w:rsid w:val="00B01FC0"/>
    <w:rsid w:val="00B024EA"/>
    <w:rsid w:val="00B027F0"/>
    <w:rsid w:val="00B033A7"/>
    <w:rsid w:val="00B033B6"/>
    <w:rsid w:val="00B035C0"/>
    <w:rsid w:val="00B03A62"/>
    <w:rsid w:val="00B03B7C"/>
    <w:rsid w:val="00B03D78"/>
    <w:rsid w:val="00B03DB8"/>
    <w:rsid w:val="00B046BA"/>
    <w:rsid w:val="00B0476A"/>
    <w:rsid w:val="00B0481F"/>
    <w:rsid w:val="00B04824"/>
    <w:rsid w:val="00B04A44"/>
    <w:rsid w:val="00B04B1D"/>
    <w:rsid w:val="00B04B30"/>
    <w:rsid w:val="00B051DF"/>
    <w:rsid w:val="00B0568A"/>
    <w:rsid w:val="00B05A75"/>
    <w:rsid w:val="00B05B27"/>
    <w:rsid w:val="00B05B2F"/>
    <w:rsid w:val="00B05C0A"/>
    <w:rsid w:val="00B05D41"/>
    <w:rsid w:val="00B06032"/>
    <w:rsid w:val="00B0648D"/>
    <w:rsid w:val="00B06781"/>
    <w:rsid w:val="00B067E6"/>
    <w:rsid w:val="00B0695A"/>
    <w:rsid w:val="00B0699B"/>
    <w:rsid w:val="00B06D11"/>
    <w:rsid w:val="00B07019"/>
    <w:rsid w:val="00B07023"/>
    <w:rsid w:val="00B075D5"/>
    <w:rsid w:val="00B075F1"/>
    <w:rsid w:val="00B07747"/>
    <w:rsid w:val="00B078B5"/>
    <w:rsid w:val="00B07DA8"/>
    <w:rsid w:val="00B07E92"/>
    <w:rsid w:val="00B101F2"/>
    <w:rsid w:val="00B10306"/>
    <w:rsid w:val="00B1036E"/>
    <w:rsid w:val="00B10465"/>
    <w:rsid w:val="00B10701"/>
    <w:rsid w:val="00B10759"/>
    <w:rsid w:val="00B108FC"/>
    <w:rsid w:val="00B10A7F"/>
    <w:rsid w:val="00B10E7A"/>
    <w:rsid w:val="00B10FBA"/>
    <w:rsid w:val="00B1130A"/>
    <w:rsid w:val="00B1153C"/>
    <w:rsid w:val="00B118F8"/>
    <w:rsid w:val="00B119C8"/>
    <w:rsid w:val="00B11FC3"/>
    <w:rsid w:val="00B12571"/>
    <w:rsid w:val="00B1285D"/>
    <w:rsid w:val="00B12B4C"/>
    <w:rsid w:val="00B12E41"/>
    <w:rsid w:val="00B13034"/>
    <w:rsid w:val="00B1305C"/>
    <w:rsid w:val="00B13398"/>
    <w:rsid w:val="00B13842"/>
    <w:rsid w:val="00B13FF6"/>
    <w:rsid w:val="00B140FB"/>
    <w:rsid w:val="00B14187"/>
    <w:rsid w:val="00B14276"/>
    <w:rsid w:val="00B14548"/>
    <w:rsid w:val="00B14813"/>
    <w:rsid w:val="00B14837"/>
    <w:rsid w:val="00B14AA7"/>
    <w:rsid w:val="00B14B3E"/>
    <w:rsid w:val="00B14B7B"/>
    <w:rsid w:val="00B14FDA"/>
    <w:rsid w:val="00B150BE"/>
    <w:rsid w:val="00B1510B"/>
    <w:rsid w:val="00B15612"/>
    <w:rsid w:val="00B15892"/>
    <w:rsid w:val="00B15AE1"/>
    <w:rsid w:val="00B15D49"/>
    <w:rsid w:val="00B15D60"/>
    <w:rsid w:val="00B15DF8"/>
    <w:rsid w:val="00B1619B"/>
    <w:rsid w:val="00B1619F"/>
    <w:rsid w:val="00B16969"/>
    <w:rsid w:val="00B16C6A"/>
    <w:rsid w:val="00B16D68"/>
    <w:rsid w:val="00B1708F"/>
    <w:rsid w:val="00B17357"/>
    <w:rsid w:val="00B17759"/>
    <w:rsid w:val="00B178EA"/>
    <w:rsid w:val="00B17B0C"/>
    <w:rsid w:val="00B17BBE"/>
    <w:rsid w:val="00B201C4"/>
    <w:rsid w:val="00B2024D"/>
    <w:rsid w:val="00B20892"/>
    <w:rsid w:val="00B20950"/>
    <w:rsid w:val="00B20C52"/>
    <w:rsid w:val="00B20D8B"/>
    <w:rsid w:val="00B2125C"/>
    <w:rsid w:val="00B21338"/>
    <w:rsid w:val="00B217D9"/>
    <w:rsid w:val="00B21B6B"/>
    <w:rsid w:val="00B21C6E"/>
    <w:rsid w:val="00B21DF8"/>
    <w:rsid w:val="00B222BB"/>
    <w:rsid w:val="00B223FF"/>
    <w:rsid w:val="00B224BF"/>
    <w:rsid w:val="00B2261E"/>
    <w:rsid w:val="00B22672"/>
    <w:rsid w:val="00B2282B"/>
    <w:rsid w:val="00B22907"/>
    <w:rsid w:val="00B2292B"/>
    <w:rsid w:val="00B22CAE"/>
    <w:rsid w:val="00B22D0B"/>
    <w:rsid w:val="00B22DF1"/>
    <w:rsid w:val="00B2337D"/>
    <w:rsid w:val="00B235F8"/>
    <w:rsid w:val="00B236D6"/>
    <w:rsid w:val="00B237F3"/>
    <w:rsid w:val="00B23905"/>
    <w:rsid w:val="00B23EAB"/>
    <w:rsid w:val="00B23F19"/>
    <w:rsid w:val="00B23F39"/>
    <w:rsid w:val="00B23FF9"/>
    <w:rsid w:val="00B2401E"/>
    <w:rsid w:val="00B241A9"/>
    <w:rsid w:val="00B247B1"/>
    <w:rsid w:val="00B24A1C"/>
    <w:rsid w:val="00B24F2F"/>
    <w:rsid w:val="00B24FA9"/>
    <w:rsid w:val="00B2549C"/>
    <w:rsid w:val="00B25683"/>
    <w:rsid w:val="00B25725"/>
    <w:rsid w:val="00B2591B"/>
    <w:rsid w:val="00B25FCC"/>
    <w:rsid w:val="00B2605C"/>
    <w:rsid w:val="00B264F6"/>
    <w:rsid w:val="00B269CD"/>
    <w:rsid w:val="00B26AAE"/>
    <w:rsid w:val="00B26F7D"/>
    <w:rsid w:val="00B27246"/>
    <w:rsid w:val="00B27347"/>
    <w:rsid w:val="00B27616"/>
    <w:rsid w:val="00B2775E"/>
    <w:rsid w:val="00B277F0"/>
    <w:rsid w:val="00B27A71"/>
    <w:rsid w:val="00B27B42"/>
    <w:rsid w:val="00B3042B"/>
    <w:rsid w:val="00B3049A"/>
    <w:rsid w:val="00B30991"/>
    <w:rsid w:val="00B30DBF"/>
    <w:rsid w:val="00B30EA1"/>
    <w:rsid w:val="00B31097"/>
    <w:rsid w:val="00B3125C"/>
    <w:rsid w:val="00B31374"/>
    <w:rsid w:val="00B317C3"/>
    <w:rsid w:val="00B31C38"/>
    <w:rsid w:val="00B323BF"/>
    <w:rsid w:val="00B32733"/>
    <w:rsid w:val="00B3280A"/>
    <w:rsid w:val="00B328FF"/>
    <w:rsid w:val="00B32BD6"/>
    <w:rsid w:val="00B330D9"/>
    <w:rsid w:val="00B332D2"/>
    <w:rsid w:val="00B3387A"/>
    <w:rsid w:val="00B33883"/>
    <w:rsid w:val="00B338C4"/>
    <w:rsid w:val="00B33B11"/>
    <w:rsid w:val="00B34009"/>
    <w:rsid w:val="00B3471F"/>
    <w:rsid w:val="00B347C1"/>
    <w:rsid w:val="00B34858"/>
    <w:rsid w:val="00B34B7B"/>
    <w:rsid w:val="00B34C5C"/>
    <w:rsid w:val="00B34CF4"/>
    <w:rsid w:val="00B355BD"/>
    <w:rsid w:val="00B3568A"/>
    <w:rsid w:val="00B35801"/>
    <w:rsid w:val="00B360AF"/>
    <w:rsid w:val="00B362EA"/>
    <w:rsid w:val="00B36369"/>
    <w:rsid w:val="00B366C7"/>
    <w:rsid w:val="00B367A4"/>
    <w:rsid w:val="00B36E38"/>
    <w:rsid w:val="00B36E6D"/>
    <w:rsid w:val="00B37360"/>
    <w:rsid w:val="00B3751E"/>
    <w:rsid w:val="00B375F5"/>
    <w:rsid w:val="00B37613"/>
    <w:rsid w:val="00B37955"/>
    <w:rsid w:val="00B37A1F"/>
    <w:rsid w:val="00B37C34"/>
    <w:rsid w:val="00B40109"/>
    <w:rsid w:val="00B405BD"/>
    <w:rsid w:val="00B40BE2"/>
    <w:rsid w:val="00B41378"/>
    <w:rsid w:val="00B41D51"/>
    <w:rsid w:val="00B42021"/>
    <w:rsid w:val="00B42560"/>
    <w:rsid w:val="00B42952"/>
    <w:rsid w:val="00B42F45"/>
    <w:rsid w:val="00B42FEF"/>
    <w:rsid w:val="00B43C7C"/>
    <w:rsid w:val="00B441B7"/>
    <w:rsid w:val="00B4462E"/>
    <w:rsid w:val="00B44789"/>
    <w:rsid w:val="00B44D98"/>
    <w:rsid w:val="00B44E92"/>
    <w:rsid w:val="00B4508C"/>
    <w:rsid w:val="00B452C9"/>
    <w:rsid w:val="00B459BA"/>
    <w:rsid w:val="00B45B43"/>
    <w:rsid w:val="00B460FF"/>
    <w:rsid w:val="00B4640C"/>
    <w:rsid w:val="00B464E7"/>
    <w:rsid w:val="00B468CC"/>
    <w:rsid w:val="00B46B6C"/>
    <w:rsid w:val="00B46E1A"/>
    <w:rsid w:val="00B46ED4"/>
    <w:rsid w:val="00B46F75"/>
    <w:rsid w:val="00B473ED"/>
    <w:rsid w:val="00B47570"/>
    <w:rsid w:val="00B4765F"/>
    <w:rsid w:val="00B4797D"/>
    <w:rsid w:val="00B47D9D"/>
    <w:rsid w:val="00B5014F"/>
    <w:rsid w:val="00B5017C"/>
    <w:rsid w:val="00B506A2"/>
    <w:rsid w:val="00B50B48"/>
    <w:rsid w:val="00B50DEB"/>
    <w:rsid w:val="00B5170A"/>
    <w:rsid w:val="00B51930"/>
    <w:rsid w:val="00B519C4"/>
    <w:rsid w:val="00B51C2E"/>
    <w:rsid w:val="00B51FAC"/>
    <w:rsid w:val="00B51FD8"/>
    <w:rsid w:val="00B520B3"/>
    <w:rsid w:val="00B521DE"/>
    <w:rsid w:val="00B52319"/>
    <w:rsid w:val="00B52537"/>
    <w:rsid w:val="00B52612"/>
    <w:rsid w:val="00B52613"/>
    <w:rsid w:val="00B52648"/>
    <w:rsid w:val="00B52964"/>
    <w:rsid w:val="00B52A3D"/>
    <w:rsid w:val="00B52C7C"/>
    <w:rsid w:val="00B534DB"/>
    <w:rsid w:val="00B5390E"/>
    <w:rsid w:val="00B53B4B"/>
    <w:rsid w:val="00B53D53"/>
    <w:rsid w:val="00B54032"/>
    <w:rsid w:val="00B54299"/>
    <w:rsid w:val="00B542A0"/>
    <w:rsid w:val="00B54634"/>
    <w:rsid w:val="00B54714"/>
    <w:rsid w:val="00B549D0"/>
    <w:rsid w:val="00B54E72"/>
    <w:rsid w:val="00B5504F"/>
    <w:rsid w:val="00B550A2"/>
    <w:rsid w:val="00B55342"/>
    <w:rsid w:val="00B554E5"/>
    <w:rsid w:val="00B555A9"/>
    <w:rsid w:val="00B55676"/>
    <w:rsid w:val="00B5568A"/>
    <w:rsid w:val="00B556D7"/>
    <w:rsid w:val="00B55A30"/>
    <w:rsid w:val="00B55D89"/>
    <w:rsid w:val="00B55E41"/>
    <w:rsid w:val="00B56007"/>
    <w:rsid w:val="00B5643E"/>
    <w:rsid w:val="00B5654E"/>
    <w:rsid w:val="00B5667C"/>
    <w:rsid w:val="00B566EF"/>
    <w:rsid w:val="00B56851"/>
    <w:rsid w:val="00B568A0"/>
    <w:rsid w:val="00B568F3"/>
    <w:rsid w:val="00B569B4"/>
    <w:rsid w:val="00B56DE9"/>
    <w:rsid w:val="00B56E61"/>
    <w:rsid w:val="00B56F07"/>
    <w:rsid w:val="00B56F47"/>
    <w:rsid w:val="00B579E0"/>
    <w:rsid w:val="00B57D46"/>
    <w:rsid w:val="00B60042"/>
    <w:rsid w:val="00B600FD"/>
    <w:rsid w:val="00B604C1"/>
    <w:rsid w:val="00B60649"/>
    <w:rsid w:val="00B6080A"/>
    <w:rsid w:val="00B60A4B"/>
    <w:rsid w:val="00B60D9B"/>
    <w:rsid w:val="00B60F39"/>
    <w:rsid w:val="00B61047"/>
    <w:rsid w:val="00B6107A"/>
    <w:rsid w:val="00B6113A"/>
    <w:rsid w:val="00B61399"/>
    <w:rsid w:val="00B6170D"/>
    <w:rsid w:val="00B6190D"/>
    <w:rsid w:val="00B61A20"/>
    <w:rsid w:val="00B6209D"/>
    <w:rsid w:val="00B627CA"/>
    <w:rsid w:val="00B62CF7"/>
    <w:rsid w:val="00B62F13"/>
    <w:rsid w:val="00B63301"/>
    <w:rsid w:val="00B63E28"/>
    <w:rsid w:val="00B63E8E"/>
    <w:rsid w:val="00B63ED3"/>
    <w:rsid w:val="00B6427B"/>
    <w:rsid w:val="00B64423"/>
    <w:rsid w:val="00B647BB"/>
    <w:rsid w:val="00B64928"/>
    <w:rsid w:val="00B64A24"/>
    <w:rsid w:val="00B64B78"/>
    <w:rsid w:val="00B64D0D"/>
    <w:rsid w:val="00B64F54"/>
    <w:rsid w:val="00B65250"/>
    <w:rsid w:val="00B65451"/>
    <w:rsid w:val="00B658C3"/>
    <w:rsid w:val="00B660C9"/>
    <w:rsid w:val="00B66351"/>
    <w:rsid w:val="00B66518"/>
    <w:rsid w:val="00B66808"/>
    <w:rsid w:val="00B668D1"/>
    <w:rsid w:val="00B67173"/>
    <w:rsid w:val="00B671F8"/>
    <w:rsid w:val="00B67639"/>
    <w:rsid w:val="00B6778D"/>
    <w:rsid w:val="00B67B6E"/>
    <w:rsid w:val="00B67C8C"/>
    <w:rsid w:val="00B67F7D"/>
    <w:rsid w:val="00B70032"/>
    <w:rsid w:val="00B7020F"/>
    <w:rsid w:val="00B70752"/>
    <w:rsid w:val="00B70E99"/>
    <w:rsid w:val="00B7142C"/>
    <w:rsid w:val="00B7202E"/>
    <w:rsid w:val="00B72310"/>
    <w:rsid w:val="00B7257E"/>
    <w:rsid w:val="00B72657"/>
    <w:rsid w:val="00B728AE"/>
    <w:rsid w:val="00B72902"/>
    <w:rsid w:val="00B72F2A"/>
    <w:rsid w:val="00B73001"/>
    <w:rsid w:val="00B731C1"/>
    <w:rsid w:val="00B7337F"/>
    <w:rsid w:val="00B73A7A"/>
    <w:rsid w:val="00B73C09"/>
    <w:rsid w:val="00B744C0"/>
    <w:rsid w:val="00B74A7A"/>
    <w:rsid w:val="00B74C2D"/>
    <w:rsid w:val="00B74E0F"/>
    <w:rsid w:val="00B7538A"/>
    <w:rsid w:val="00B755D1"/>
    <w:rsid w:val="00B75887"/>
    <w:rsid w:val="00B75A3A"/>
    <w:rsid w:val="00B75E0A"/>
    <w:rsid w:val="00B75FF5"/>
    <w:rsid w:val="00B7630A"/>
    <w:rsid w:val="00B76348"/>
    <w:rsid w:val="00B763F0"/>
    <w:rsid w:val="00B766CE"/>
    <w:rsid w:val="00B76C43"/>
    <w:rsid w:val="00B7713A"/>
    <w:rsid w:val="00B77661"/>
    <w:rsid w:val="00B776C4"/>
    <w:rsid w:val="00B77EE7"/>
    <w:rsid w:val="00B77F07"/>
    <w:rsid w:val="00B80488"/>
    <w:rsid w:val="00B80946"/>
    <w:rsid w:val="00B809C2"/>
    <w:rsid w:val="00B80AF6"/>
    <w:rsid w:val="00B818C8"/>
    <w:rsid w:val="00B82047"/>
    <w:rsid w:val="00B8249C"/>
    <w:rsid w:val="00B824D8"/>
    <w:rsid w:val="00B82ADC"/>
    <w:rsid w:val="00B83092"/>
    <w:rsid w:val="00B8316F"/>
    <w:rsid w:val="00B835B4"/>
    <w:rsid w:val="00B83895"/>
    <w:rsid w:val="00B83AD3"/>
    <w:rsid w:val="00B83BF5"/>
    <w:rsid w:val="00B83DAE"/>
    <w:rsid w:val="00B84119"/>
    <w:rsid w:val="00B846D9"/>
    <w:rsid w:val="00B84822"/>
    <w:rsid w:val="00B84F8C"/>
    <w:rsid w:val="00B85278"/>
    <w:rsid w:val="00B854B0"/>
    <w:rsid w:val="00B85B6F"/>
    <w:rsid w:val="00B86120"/>
    <w:rsid w:val="00B8622E"/>
    <w:rsid w:val="00B8626F"/>
    <w:rsid w:val="00B865E4"/>
    <w:rsid w:val="00B86AD9"/>
    <w:rsid w:val="00B86C54"/>
    <w:rsid w:val="00B86C74"/>
    <w:rsid w:val="00B86EA8"/>
    <w:rsid w:val="00B87AE4"/>
    <w:rsid w:val="00B87B19"/>
    <w:rsid w:val="00B87ECD"/>
    <w:rsid w:val="00B9012F"/>
    <w:rsid w:val="00B902CE"/>
    <w:rsid w:val="00B91129"/>
    <w:rsid w:val="00B912C2"/>
    <w:rsid w:val="00B912F2"/>
    <w:rsid w:val="00B9130C"/>
    <w:rsid w:val="00B91492"/>
    <w:rsid w:val="00B916E6"/>
    <w:rsid w:val="00B918A9"/>
    <w:rsid w:val="00B91ADC"/>
    <w:rsid w:val="00B91DEE"/>
    <w:rsid w:val="00B91F1E"/>
    <w:rsid w:val="00B92080"/>
    <w:rsid w:val="00B921A8"/>
    <w:rsid w:val="00B921BF"/>
    <w:rsid w:val="00B9237F"/>
    <w:rsid w:val="00B9248C"/>
    <w:rsid w:val="00B92533"/>
    <w:rsid w:val="00B9256A"/>
    <w:rsid w:val="00B92916"/>
    <w:rsid w:val="00B92A5D"/>
    <w:rsid w:val="00B92B0A"/>
    <w:rsid w:val="00B92CAA"/>
    <w:rsid w:val="00B92F4B"/>
    <w:rsid w:val="00B933F6"/>
    <w:rsid w:val="00B939ED"/>
    <w:rsid w:val="00B93B5E"/>
    <w:rsid w:val="00B93B60"/>
    <w:rsid w:val="00B93DDD"/>
    <w:rsid w:val="00B93F9C"/>
    <w:rsid w:val="00B94227"/>
    <w:rsid w:val="00B9433E"/>
    <w:rsid w:val="00B94454"/>
    <w:rsid w:val="00B94681"/>
    <w:rsid w:val="00B94960"/>
    <w:rsid w:val="00B94ABA"/>
    <w:rsid w:val="00B94F3A"/>
    <w:rsid w:val="00B950DD"/>
    <w:rsid w:val="00B951C7"/>
    <w:rsid w:val="00B953D4"/>
    <w:rsid w:val="00B9572C"/>
    <w:rsid w:val="00B9616E"/>
    <w:rsid w:val="00B96434"/>
    <w:rsid w:val="00B96471"/>
    <w:rsid w:val="00B96476"/>
    <w:rsid w:val="00B9692C"/>
    <w:rsid w:val="00B96CB1"/>
    <w:rsid w:val="00B96D71"/>
    <w:rsid w:val="00B9706F"/>
    <w:rsid w:val="00B9709A"/>
    <w:rsid w:val="00B97228"/>
    <w:rsid w:val="00B9742D"/>
    <w:rsid w:val="00B974FA"/>
    <w:rsid w:val="00B97696"/>
    <w:rsid w:val="00B977DA"/>
    <w:rsid w:val="00B97956"/>
    <w:rsid w:val="00B97A19"/>
    <w:rsid w:val="00B97C25"/>
    <w:rsid w:val="00B97E07"/>
    <w:rsid w:val="00B97EFB"/>
    <w:rsid w:val="00B97EFF"/>
    <w:rsid w:val="00BA006F"/>
    <w:rsid w:val="00BA0170"/>
    <w:rsid w:val="00BA0345"/>
    <w:rsid w:val="00BA0351"/>
    <w:rsid w:val="00BA0506"/>
    <w:rsid w:val="00BA11B7"/>
    <w:rsid w:val="00BA135D"/>
    <w:rsid w:val="00BA14CE"/>
    <w:rsid w:val="00BA19FC"/>
    <w:rsid w:val="00BA1C94"/>
    <w:rsid w:val="00BA1D4E"/>
    <w:rsid w:val="00BA20E7"/>
    <w:rsid w:val="00BA222F"/>
    <w:rsid w:val="00BA2416"/>
    <w:rsid w:val="00BA2492"/>
    <w:rsid w:val="00BA2A0F"/>
    <w:rsid w:val="00BA2CA0"/>
    <w:rsid w:val="00BA2FD8"/>
    <w:rsid w:val="00BA30C5"/>
    <w:rsid w:val="00BA31E4"/>
    <w:rsid w:val="00BA3555"/>
    <w:rsid w:val="00BA3AF2"/>
    <w:rsid w:val="00BA46D8"/>
    <w:rsid w:val="00BA4A58"/>
    <w:rsid w:val="00BA4AF2"/>
    <w:rsid w:val="00BA4D64"/>
    <w:rsid w:val="00BA55FD"/>
    <w:rsid w:val="00BA57A0"/>
    <w:rsid w:val="00BA5A75"/>
    <w:rsid w:val="00BA5A7A"/>
    <w:rsid w:val="00BA5FB8"/>
    <w:rsid w:val="00BA657D"/>
    <w:rsid w:val="00BA6A5C"/>
    <w:rsid w:val="00BA6A7C"/>
    <w:rsid w:val="00BA6AC6"/>
    <w:rsid w:val="00BA6D49"/>
    <w:rsid w:val="00BA6E42"/>
    <w:rsid w:val="00BA6F3A"/>
    <w:rsid w:val="00BA7007"/>
    <w:rsid w:val="00BA714C"/>
    <w:rsid w:val="00BA74C4"/>
    <w:rsid w:val="00BA7E91"/>
    <w:rsid w:val="00BA7EAD"/>
    <w:rsid w:val="00BB0886"/>
    <w:rsid w:val="00BB0D47"/>
    <w:rsid w:val="00BB0D7B"/>
    <w:rsid w:val="00BB1552"/>
    <w:rsid w:val="00BB1B3F"/>
    <w:rsid w:val="00BB1D72"/>
    <w:rsid w:val="00BB1F72"/>
    <w:rsid w:val="00BB235C"/>
    <w:rsid w:val="00BB2742"/>
    <w:rsid w:val="00BB2766"/>
    <w:rsid w:val="00BB27A8"/>
    <w:rsid w:val="00BB2DD9"/>
    <w:rsid w:val="00BB2DFD"/>
    <w:rsid w:val="00BB2E00"/>
    <w:rsid w:val="00BB2E0E"/>
    <w:rsid w:val="00BB2F49"/>
    <w:rsid w:val="00BB2FD1"/>
    <w:rsid w:val="00BB3394"/>
    <w:rsid w:val="00BB352E"/>
    <w:rsid w:val="00BB3800"/>
    <w:rsid w:val="00BB3A4C"/>
    <w:rsid w:val="00BB3B72"/>
    <w:rsid w:val="00BB3B81"/>
    <w:rsid w:val="00BB41AB"/>
    <w:rsid w:val="00BB4268"/>
    <w:rsid w:val="00BB47DB"/>
    <w:rsid w:val="00BB4C5A"/>
    <w:rsid w:val="00BB4D45"/>
    <w:rsid w:val="00BB4D60"/>
    <w:rsid w:val="00BB4F14"/>
    <w:rsid w:val="00BB52B7"/>
    <w:rsid w:val="00BB5394"/>
    <w:rsid w:val="00BB560A"/>
    <w:rsid w:val="00BB595A"/>
    <w:rsid w:val="00BB5A31"/>
    <w:rsid w:val="00BB601E"/>
    <w:rsid w:val="00BB64F8"/>
    <w:rsid w:val="00BB64FF"/>
    <w:rsid w:val="00BB652B"/>
    <w:rsid w:val="00BB6C4E"/>
    <w:rsid w:val="00BB72F9"/>
    <w:rsid w:val="00BB7444"/>
    <w:rsid w:val="00BB7495"/>
    <w:rsid w:val="00BB7785"/>
    <w:rsid w:val="00BB79C6"/>
    <w:rsid w:val="00BB7A80"/>
    <w:rsid w:val="00BB7F88"/>
    <w:rsid w:val="00BC01D1"/>
    <w:rsid w:val="00BC0343"/>
    <w:rsid w:val="00BC0467"/>
    <w:rsid w:val="00BC0846"/>
    <w:rsid w:val="00BC0999"/>
    <w:rsid w:val="00BC0D2E"/>
    <w:rsid w:val="00BC0DD1"/>
    <w:rsid w:val="00BC1078"/>
    <w:rsid w:val="00BC10A2"/>
    <w:rsid w:val="00BC1715"/>
    <w:rsid w:val="00BC173B"/>
    <w:rsid w:val="00BC1821"/>
    <w:rsid w:val="00BC1957"/>
    <w:rsid w:val="00BC1B35"/>
    <w:rsid w:val="00BC1F5A"/>
    <w:rsid w:val="00BC1FF6"/>
    <w:rsid w:val="00BC219F"/>
    <w:rsid w:val="00BC2647"/>
    <w:rsid w:val="00BC2793"/>
    <w:rsid w:val="00BC29F1"/>
    <w:rsid w:val="00BC304C"/>
    <w:rsid w:val="00BC307D"/>
    <w:rsid w:val="00BC3121"/>
    <w:rsid w:val="00BC3470"/>
    <w:rsid w:val="00BC3675"/>
    <w:rsid w:val="00BC3739"/>
    <w:rsid w:val="00BC3C5E"/>
    <w:rsid w:val="00BC3D26"/>
    <w:rsid w:val="00BC3DB6"/>
    <w:rsid w:val="00BC3E33"/>
    <w:rsid w:val="00BC3E55"/>
    <w:rsid w:val="00BC4082"/>
    <w:rsid w:val="00BC424B"/>
    <w:rsid w:val="00BC42CA"/>
    <w:rsid w:val="00BC43E4"/>
    <w:rsid w:val="00BC45F0"/>
    <w:rsid w:val="00BC460A"/>
    <w:rsid w:val="00BC4768"/>
    <w:rsid w:val="00BC4A96"/>
    <w:rsid w:val="00BC4D4B"/>
    <w:rsid w:val="00BC5016"/>
    <w:rsid w:val="00BC506B"/>
    <w:rsid w:val="00BC50B1"/>
    <w:rsid w:val="00BC5E56"/>
    <w:rsid w:val="00BC6110"/>
    <w:rsid w:val="00BC61AC"/>
    <w:rsid w:val="00BC63F6"/>
    <w:rsid w:val="00BC6973"/>
    <w:rsid w:val="00BC69FD"/>
    <w:rsid w:val="00BC7349"/>
    <w:rsid w:val="00BC76AB"/>
    <w:rsid w:val="00BC77E4"/>
    <w:rsid w:val="00BC7E1C"/>
    <w:rsid w:val="00BD0162"/>
    <w:rsid w:val="00BD028A"/>
    <w:rsid w:val="00BD0301"/>
    <w:rsid w:val="00BD048C"/>
    <w:rsid w:val="00BD0C4B"/>
    <w:rsid w:val="00BD0EAB"/>
    <w:rsid w:val="00BD1123"/>
    <w:rsid w:val="00BD1B22"/>
    <w:rsid w:val="00BD2227"/>
    <w:rsid w:val="00BD23FE"/>
    <w:rsid w:val="00BD2519"/>
    <w:rsid w:val="00BD2A52"/>
    <w:rsid w:val="00BD2DA3"/>
    <w:rsid w:val="00BD2EDA"/>
    <w:rsid w:val="00BD343D"/>
    <w:rsid w:val="00BD3B44"/>
    <w:rsid w:val="00BD3B6F"/>
    <w:rsid w:val="00BD3C71"/>
    <w:rsid w:val="00BD3FC5"/>
    <w:rsid w:val="00BD44EC"/>
    <w:rsid w:val="00BD4631"/>
    <w:rsid w:val="00BD4683"/>
    <w:rsid w:val="00BD488D"/>
    <w:rsid w:val="00BD4A7E"/>
    <w:rsid w:val="00BD549A"/>
    <w:rsid w:val="00BD57AB"/>
    <w:rsid w:val="00BD5E4A"/>
    <w:rsid w:val="00BD5FEB"/>
    <w:rsid w:val="00BD606E"/>
    <w:rsid w:val="00BD6308"/>
    <w:rsid w:val="00BD634A"/>
    <w:rsid w:val="00BD63AF"/>
    <w:rsid w:val="00BD684D"/>
    <w:rsid w:val="00BD6918"/>
    <w:rsid w:val="00BD6E9E"/>
    <w:rsid w:val="00BD6F11"/>
    <w:rsid w:val="00BD702B"/>
    <w:rsid w:val="00BD7166"/>
    <w:rsid w:val="00BD79FE"/>
    <w:rsid w:val="00BD7FB7"/>
    <w:rsid w:val="00BE0456"/>
    <w:rsid w:val="00BE08DC"/>
    <w:rsid w:val="00BE0E09"/>
    <w:rsid w:val="00BE0E40"/>
    <w:rsid w:val="00BE1668"/>
    <w:rsid w:val="00BE1712"/>
    <w:rsid w:val="00BE1774"/>
    <w:rsid w:val="00BE17D5"/>
    <w:rsid w:val="00BE19DD"/>
    <w:rsid w:val="00BE1BF6"/>
    <w:rsid w:val="00BE1C4C"/>
    <w:rsid w:val="00BE1EFD"/>
    <w:rsid w:val="00BE1F6F"/>
    <w:rsid w:val="00BE208A"/>
    <w:rsid w:val="00BE20FB"/>
    <w:rsid w:val="00BE2317"/>
    <w:rsid w:val="00BE23CF"/>
    <w:rsid w:val="00BE256A"/>
    <w:rsid w:val="00BE25F9"/>
    <w:rsid w:val="00BE260A"/>
    <w:rsid w:val="00BE297E"/>
    <w:rsid w:val="00BE2CAA"/>
    <w:rsid w:val="00BE31F7"/>
    <w:rsid w:val="00BE3233"/>
    <w:rsid w:val="00BE33EC"/>
    <w:rsid w:val="00BE3650"/>
    <w:rsid w:val="00BE3C50"/>
    <w:rsid w:val="00BE3DEE"/>
    <w:rsid w:val="00BE3EA6"/>
    <w:rsid w:val="00BE43D6"/>
    <w:rsid w:val="00BE4649"/>
    <w:rsid w:val="00BE4BDF"/>
    <w:rsid w:val="00BE4BFB"/>
    <w:rsid w:val="00BE574F"/>
    <w:rsid w:val="00BE5B77"/>
    <w:rsid w:val="00BE5D43"/>
    <w:rsid w:val="00BE5D8F"/>
    <w:rsid w:val="00BE6037"/>
    <w:rsid w:val="00BE63A6"/>
    <w:rsid w:val="00BE6543"/>
    <w:rsid w:val="00BE6672"/>
    <w:rsid w:val="00BE6777"/>
    <w:rsid w:val="00BE6D91"/>
    <w:rsid w:val="00BE6ECD"/>
    <w:rsid w:val="00BE71C2"/>
    <w:rsid w:val="00BE787E"/>
    <w:rsid w:val="00BE7EAC"/>
    <w:rsid w:val="00BE7EF9"/>
    <w:rsid w:val="00BE7FD7"/>
    <w:rsid w:val="00BF0053"/>
    <w:rsid w:val="00BF014A"/>
    <w:rsid w:val="00BF073A"/>
    <w:rsid w:val="00BF0772"/>
    <w:rsid w:val="00BF0AE1"/>
    <w:rsid w:val="00BF0C6F"/>
    <w:rsid w:val="00BF104D"/>
    <w:rsid w:val="00BF1118"/>
    <w:rsid w:val="00BF1352"/>
    <w:rsid w:val="00BF19B8"/>
    <w:rsid w:val="00BF19D0"/>
    <w:rsid w:val="00BF1BDA"/>
    <w:rsid w:val="00BF1DF7"/>
    <w:rsid w:val="00BF1F02"/>
    <w:rsid w:val="00BF1FB0"/>
    <w:rsid w:val="00BF231E"/>
    <w:rsid w:val="00BF236F"/>
    <w:rsid w:val="00BF2907"/>
    <w:rsid w:val="00BF2A3A"/>
    <w:rsid w:val="00BF2C11"/>
    <w:rsid w:val="00BF2ECF"/>
    <w:rsid w:val="00BF3206"/>
    <w:rsid w:val="00BF3372"/>
    <w:rsid w:val="00BF33E8"/>
    <w:rsid w:val="00BF373B"/>
    <w:rsid w:val="00BF387D"/>
    <w:rsid w:val="00BF3AA9"/>
    <w:rsid w:val="00BF3D28"/>
    <w:rsid w:val="00BF3DC5"/>
    <w:rsid w:val="00BF3EB3"/>
    <w:rsid w:val="00BF3EDD"/>
    <w:rsid w:val="00BF3F17"/>
    <w:rsid w:val="00BF4052"/>
    <w:rsid w:val="00BF41E1"/>
    <w:rsid w:val="00BF425A"/>
    <w:rsid w:val="00BF4B5F"/>
    <w:rsid w:val="00BF4B93"/>
    <w:rsid w:val="00BF5298"/>
    <w:rsid w:val="00BF5551"/>
    <w:rsid w:val="00BF5882"/>
    <w:rsid w:val="00BF5DC0"/>
    <w:rsid w:val="00BF602C"/>
    <w:rsid w:val="00BF6229"/>
    <w:rsid w:val="00BF6BE2"/>
    <w:rsid w:val="00BF6C49"/>
    <w:rsid w:val="00BF732F"/>
    <w:rsid w:val="00BF7413"/>
    <w:rsid w:val="00BF7452"/>
    <w:rsid w:val="00BF7933"/>
    <w:rsid w:val="00BF7E1C"/>
    <w:rsid w:val="00C00218"/>
    <w:rsid w:val="00C00604"/>
    <w:rsid w:val="00C00E18"/>
    <w:rsid w:val="00C00EF0"/>
    <w:rsid w:val="00C011F1"/>
    <w:rsid w:val="00C0150E"/>
    <w:rsid w:val="00C01918"/>
    <w:rsid w:val="00C01D35"/>
    <w:rsid w:val="00C02193"/>
    <w:rsid w:val="00C02845"/>
    <w:rsid w:val="00C028B1"/>
    <w:rsid w:val="00C02A40"/>
    <w:rsid w:val="00C02C9A"/>
    <w:rsid w:val="00C02EC6"/>
    <w:rsid w:val="00C03F2C"/>
    <w:rsid w:val="00C0402E"/>
    <w:rsid w:val="00C040AE"/>
    <w:rsid w:val="00C0449C"/>
    <w:rsid w:val="00C044DB"/>
    <w:rsid w:val="00C04706"/>
    <w:rsid w:val="00C0477B"/>
    <w:rsid w:val="00C04A34"/>
    <w:rsid w:val="00C04ADE"/>
    <w:rsid w:val="00C04CBB"/>
    <w:rsid w:val="00C04F21"/>
    <w:rsid w:val="00C04F6F"/>
    <w:rsid w:val="00C04F71"/>
    <w:rsid w:val="00C04FB2"/>
    <w:rsid w:val="00C04FE3"/>
    <w:rsid w:val="00C0513C"/>
    <w:rsid w:val="00C0515E"/>
    <w:rsid w:val="00C05A1F"/>
    <w:rsid w:val="00C05A6A"/>
    <w:rsid w:val="00C05D48"/>
    <w:rsid w:val="00C066D3"/>
    <w:rsid w:val="00C06B6D"/>
    <w:rsid w:val="00C06B80"/>
    <w:rsid w:val="00C06BE7"/>
    <w:rsid w:val="00C06D1B"/>
    <w:rsid w:val="00C06DE3"/>
    <w:rsid w:val="00C0755A"/>
    <w:rsid w:val="00C07707"/>
    <w:rsid w:val="00C07CC2"/>
    <w:rsid w:val="00C07D6D"/>
    <w:rsid w:val="00C1012A"/>
    <w:rsid w:val="00C108D1"/>
    <w:rsid w:val="00C108D4"/>
    <w:rsid w:val="00C109F7"/>
    <w:rsid w:val="00C10EC6"/>
    <w:rsid w:val="00C11332"/>
    <w:rsid w:val="00C113A4"/>
    <w:rsid w:val="00C11850"/>
    <w:rsid w:val="00C11961"/>
    <w:rsid w:val="00C1199A"/>
    <w:rsid w:val="00C11B3E"/>
    <w:rsid w:val="00C11C2B"/>
    <w:rsid w:val="00C1201E"/>
    <w:rsid w:val="00C120BA"/>
    <w:rsid w:val="00C121F9"/>
    <w:rsid w:val="00C1220E"/>
    <w:rsid w:val="00C1245E"/>
    <w:rsid w:val="00C124CE"/>
    <w:rsid w:val="00C12662"/>
    <w:rsid w:val="00C1268D"/>
    <w:rsid w:val="00C12867"/>
    <w:rsid w:val="00C12D0C"/>
    <w:rsid w:val="00C12EB7"/>
    <w:rsid w:val="00C135D8"/>
    <w:rsid w:val="00C13A2E"/>
    <w:rsid w:val="00C13C08"/>
    <w:rsid w:val="00C14417"/>
    <w:rsid w:val="00C144B5"/>
    <w:rsid w:val="00C1463E"/>
    <w:rsid w:val="00C1486F"/>
    <w:rsid w:val="00C148F9"/>
    <w:rsid w:val="00C14AB6"/>
    <w:rsid w:val="00C14B07"/>
    <w:rsid w:val="00C15190"/>
    <w:rsid w:val="00C1554C"/>
    <w:rsid w:val="00C158E3"/>
    <w:rsid w:val="00C1604D"/>
    <w:rsid w:val="00C16A04"/>
    <w:rsid w:val="00C16A13"/>
    <w:rsid w:val="00C16A43"/>
    <w:rsid w:val="00C16F84"/>
    <w:rsid w:val="00C171E8"/>
    <w:rsid w:val="00C171FB"/>
    <w:rsid w:val="00C17226"/>
    <w:rsid w:val="00C17330"/>
    <w:rsid w:val="00C17515"/>
    <w:rsid w:val="00C17716"/>
    <w:rsid w:val="00C17732"/>
    <w:rsid w:val="00C17C17"/>
    <w:rsid w:val="00C17C6E"/>
    <w:rsid w:val="00C17C7E"/>
    <w:rsid w:val="00C17EAE"/>
    <w:rsid w:val="00C17F61"/>
    <w:rsid w:val="00C20130"/>
    <w:rsid w:val="00C20263"/>
    <w:rsid w:val="00C20338"/>
    <w:rsid w:val="00C2044C"/>
    <w:rsid w:val="00C204D8"/>
    <w:rsid w:val="00C209FB"/>
    <w:rsid w:val="00C20A16"/>
    <w:rsid w:val="00C20EE8"/>
    <w:rsid w:val="00C212B9"/>
    <w:rsid w:val="00C215B5"/>
    <w:rsid w:val="00C215F7"/>
    <w:rsid w:val="00C21777"/>
    <w:rsid w:val="00C2185E"/>
    <w:rsid w:val="00C21EBA"/>
    <w:rsid w:val="00C221B5"/>
    <w:rsid w:val="00C2245B"/>
    <w:rsid w:val="00C22483"/>
    <w:rsid w:val="00C224EE"/>
    <w:rsid w:val="00C22525"/>
    <w:rsid w:val="00C22928"/>
    <w:rsid w:val="00C22949"/>
    <w:rsid w:val="00C22B83"/>
    <w:rsid w:val="00C22FC4"/>
    <w:rsid w:val="00C2316A"/>
    <w:rsid w:val="00C23184"/>
    <w:rsid w:val="00C23275"/>
    <w:rsid w:val="00C23306"/>
    <w:rsid w:val="00C23459"/>
    <w:rsid w:val="00C23792"/>
    <w:rsid w:val="00C23C56"/>
    <w:rsid w:val="00C23D26"/>
    <w:rsid w:val="00C24073"/>
    <w:rsid w:val="00C241F1"/>
    <w:rsid w:val="00C2421D"/>
    <w:rsid w:val="00C24377"/>
    <w:rsid w:val="00C24683"/>
    <w:rsid w:val="00C24716"/>
    <w:rsid w:val="00C24821"/>
    <w:rsid w:val="00C249AE"/>
    <w:rsid w:val="00C249E8"/>
    <w:rsid w:val="00C24AA1"/>
    <w:rsid w:val="00C24C94"/>
    <w:rsid w:val="00C25201"/>
    <w:rsid w:val="00C253B9"/>
    <w:rsid w:val="00C2569F"/>
    <w:rsid w:val="00C2599A"/>
    <w:rsid w:val="00C25A4D"/>
    <w:rsid w:val="00C25B0C"/>
    <w:rsid w:val="00C25BDD"/>
    <w:rsid w:val="00C25CFE"/>
    <w:rsid w:val="00C25D5F"/>
    <w:rsid w:val="00C25F86"/>
    <w:rsid w:val="00C2644E"/>
    <w:rsid w:val="00C266F9"/>
    <w:rsid w:val="00C269DD"/>
    <w:rsid w:val="00C26D25"/>
    <w:rsid w:val="00C26D61"/>
    <w:rsid w:val="00C2700B"/>
    <w:rsid w:val="00C270C7"/>
    <w:rsid w:val="00C27295"/>
    <w:rsid w:val="00C2736B"/>
    <w:rsid w:val="00C273C2"/>
    <w:rsid w:val="00C274B3"/>
    <w:rsid w:val="00C27C8F"/>
    <w:rsid w:val="00C27D47"/>
    <w:rsid w:val="00C27D55"/>
    <w:rsid w:val="00C27FB4"/>
    <w:rsid w:val="00C27FDE"/>
    <w:rsid w:val="00C300B7"/>
    <w:rsid w:val="00C301B8"/>
    <w:rsid w:val="00C30440"/>
    <w:rsid w:val="00C306AA"/>
    <w:rsid w:val="00C30930"/>
    <w:rsid w:val="00C309DF"/>
    <w:rsid w:val="00C30CCA"/>
    <w:rsid w:val="00C30D60"/>
    <w:rsid w:val="00C30EB4"/>
    <w:rsid w:val="00C3104B"/>
    <w:rsid w:val="00C3105D"/>
    <w:rsid w:val="00C3111A"/>
    <w:rsid w:val="00C3191E"/>
    <w:rsid w:val="00C31E59"/>
    <w:rsid w:val="00C324CD"/>
    <w:rsid w:val="00C3282F"/>
    <w:rsid w:val="00C32B44"/>
    <w:rsid w:val="00C33048"/>
    <w:rsid w:val="00C331B5"/>
    <w:rsid w:val="00C33769"/>
    <w:rsid w:val="00C337D4"/>
    <w:rsid w:val="00C33922"/>
    <w:rsid w:val="00C33991"/>
    <w:rsid w:val="00C33D76"/>
    <w:rsid w:val="00C33E34"/>
    <w:rsid w:val="00C33EAB"/>
    <w:rsid w:val="00C342E5"/>
    <w:rsid w:val="00C349DD"/>
    <w:rsid w:val="00C34CC7"/>
    <w:rsid w:val="00C34E5D"/>
    <w:rsid w:val="00C34FA6"/>
    <w:rsid w:val="00C35BCA"/>
    <w:rsid w:val="00C3618C"/>
    <w:rsid w:val="00C36584"/>
    <w:rsid w:val="00C36751"/>
    <w:rsid w:val="00C36978"/>
    <w:rsid w:val="00C36B62"/>
    <w:rsid w:val="00C36D38"/>
    <w:rsid w:val="00C36E98"/>
    <w:rsid w:val="00C37574"/>
    <w:rsid w:val="00C37825"/>
    <w:rsid w:val="00C37857"/>
    <w:rsid w:val="00C37A08"/>
    <w:rsid w:val="00C37A85"/>
    <w:rsid w:val="00C400EA"/>
    <w:rsid w:val="00C4030E"/>
    <w:rsid w:val="00C406B2"/>
    <w:rsid w:val="00C40B0D"/>
    <w:rsid w:val="00C40DE1"/>
    <w:rsid w:val="00C41008"/>
    <w:rsid w:val="00C41335"/>
    <w:rsid w:val="00C4135A"/>
    <w:rsid w:val="00C414D8"/>
    <w:rsid w:val="00C41862"/>
    <w:rsid w:val="00C418EA"/>
    <w:rsid w:val="00C41AF1"/>
    <w:rsid w:val="00C41B58"/>
    <w:rsid w:val="00C41C82"/>
    <w:rsid w:val="00C4232A"/>
    <w:rsid w:val="00C427B7"/>
    <w:rsid w:val="00C42831"/>
    <w:rsid w:val="00C42911"/>
    <w:rsid w:val="00C429EF"/>
    <w:rsid w:val="00C42D47"/>
    <w:rsid w:val="00C431C4"/>
    <w:rsid w:val="00C43282"/>
    <w:rsid w:val="00C43680"/>
    <w:rsid w:val="00C436A2"/>
    <w:rsid w:val="00C445DE"/>
    <w:rsid w:val="00C446A0"/>
    <w:rsid w:val="00C44900"/>
    <w:rsid w:val="00C44AFA"/>
    <w:rsid w:val="00C44E60"/>
    <w:rsid w:val="00C455E9"/>
    <w:rsid w:val="00C45B21"/>
    <w:rsid w:val="00C45F9C"/>
    <w:rsid w:val="00C4614D"/>
    <w:rsid w:val="00C46270"/>
    <w:rsid w:val="00C466EC"/>
    <w:rsid w:val="00C46B91"/>
    <w:rsid w:val="00C46BDD"/>
    <w:rsid w:val="00C46C6C"/>
    <w:rsid w:val="00C46D1A"/>
    <w:rsid w:val="00C46D77"/>
    <w:rsid w:val="00C470F5"/>
    <w:rsid w:val="00C47136"/>
    <w:rsid w:val="00C471BF"/>
    <w:rsid w:val="00C4723E"/>
    <w:rsid w:val="00C4767F"/>
    <w:rsid w:val="00C47878"/>
    <w:rsid w:val="00C47AD0"/>
    <w:rsid w:val="00C47DA7"/>
    <w:rsid w:val="00C47E40"/>
    <w:rsid w:val="00C47FB7"/>
    <w:rsid w:val="00C47FC2"/>
    <w:rsid w:val="00C50177"/>
    <w:rsid w:val="00C50829"/>
    <w:rsid w:val="00C50EAD"/>
    <w:rsid w:val="00C51264"/>
    <w:rsid w:val="00C51A82"/>
    <w:rsid w:val="00C51C47"/>
    <w:rsid w:val="00C520FE"/>
    <w:rsid w:val="00C52224"/>
    <w:rsid w:val="00C527C3"/>
    <w:rsid w:val="00C52A8D"/>
    <w:rsid w:val="00C52C6F"/>
    <w:rsid w:val="00C52DFB"/>
    <w:rsid w:val="00C52F98"/>
    <w:rsid w:val="00C53539"/>
    <w:rsid w:val="00C53966"/>
    <w:rsid w:val="00C53A5D"/>
    <w:rsid w:val="00C53B8C"/>
    <w:rsid w:val="00C53C5B"/>
    <w:rsid w:val="00C53EBE"/>
    <w:rsid w:val="00C54018"/>
    <w:rsid w:val="00C54171"/>
    <w:rsid w:val="00C54321"/>
    <w:rsid w:val="00C543C1"/>
    <w:rsid w:val="00C545AD"/>
    <w:rsid w:val="00C5480E"/>
    <w:rsid w:val="00C5490E"/>
    <w:rsid w:val="00C54BC9"/>
    <w:rsid w:val="00C54C1E"/>
    <w:rsid w:val="00C5504F"/>
    <w:rsid w:val="00C55BB4"/>
    <w:rsid w:val="00C55D7B"/>
    <w:rsid w:val="00C55E82"/>
    <w:rsid w:val="00C561B2"/>
    <w:rsid w:val="00C5631D"/>
    <w:rsid w:val="00C564C2"/>
    <w:rsid w:val="00C568E5"/>
    <w:rsid w:val="00C56AE4"/>
    <w:rsid w:val="00C56E46"/>
    <w:rsid w:val="00C57137"/>
    <w:rsid w:val="00C571FA"/>
    <w:rsid w:val="00C57435"/>
    <w:rsid w:val="00C575D5"/>
    <w:rsid w:val="00C57812"/>
    <w:rsid w:val="00C578A3"/>
    <w:rsid w:val="00C57B31"/>
    <w:rsid w:val="00C57B76"/>
    <w:rsid w:val="00C57CC3"/>
    <w:rsid w:val="00C57D92"/>
    <w:rsid w:val="00C57F12"/>
    <w:rsid w:val="00C57F4A"/>
    <w:rsid w:val="00C60017"/>
    <w:rsid w:val="00C60069"/>
    <w:rsid w:val="00C60178"/>
    <w:rsid w:val="00C6054C"/>
    <w:rsid w:val="00C60FB1"/>
    <w:rsid w:val="00C61063"/>
    <w:rsid w:val="00C61108"/>
    <w:rsid w:val="00C61798"/>
    <w:rsid w:val="00C620B7"/>
    <w:rsid w:val="00C6219A"/>
    <w:rsid w:val="00C62432"/>
    <w:rsid w:val="00C624F7"/>
    <w:rsid w:val="00C6263D"/>
    <w:rsid w:val="00C627F5"/>
    <w:rsid w:val="00C62F92"/>
    <w:rsid w:val="00C6331A"/>
    <w:rsid w:val="00C6361A"/>
    <w:rsid w:val="00C63696"/>
    <w:rsid w:val="00C636D3"/>
    <w:rsid w:val="00C63AE3"/>
    <w:rsid w:val="00C63BD0"/>
    <w:rsid w:val="00C6447C"/>
    <w:rsid w:val="00C64509"/>
    <w:rsid w:val="00C64B95"/>
    <w:rsid w:val="00C64D9E"/>
    <w:rsid w:val="00C64E31"/>
    <w:rsid w:val="00C64EDF"/>
    <w:rsid w:val="00C64EF0"/>
    <w:rsid w:val="00C65180"/>
    <w:rsid w:val="00C65260"/>
    <w:rsid w:val="00C6537E"/>
    <w:rsid w:val="00C6542B"/>
    <w:rsid w:val="00C65648"/>
    <w:rsid w:val="00C65694"/>
    <w:rsid w:val="00C65BF9"/>
    <w:rsid w:val="00C65C70"/>
    <w:rsid w:val="00C66097"/>
    <w:rsid w:val="00C660AB"/>
    <w:rsid w:val="00C6693A"/>
    <w:rsid w:val="00C66C6A"/>
    <w:rsid w:val="00C66DB9"/>
    <w:rsid w:val="00C6742F"/>
    <w:rsid w:val="00C67995"/>
    <w:rsid w:val="00C67E50"/>
    <w:rsid w:val="00C67FDD"/>
    <w:rsid w:val="00C67FDF"/>
    <w:rsid w:val="00C70316"/>
    <w:rsid w:val="00C70808"/>
    <w:rsid w:val="00C70818"/>
    <w:rsid w:val="00C70ECF"/>
    <w:rsid w:val="00C71020"/>
    <w:rsid w:val="00C711D0"/>
    <w:rsid w:val="00C71250"/>
    <w:rsid w:val="00C71724"/>
    <w:rsid w:val="00C71E0B"/>
    <w:rsid w:val="00C71E54"/>
    <w:rsid w:val="00C720FA"/>
    <w:rsid w:val="00C726A6"/>
    <w:rsid w:val="00C728ED"/>
    <w:rsid w:val="00C72AC8"/>
    <w:rsid w:val="00C72BE9"/>
    <w:rsid w:val="00C735C3"/>
    <w:rsid w:val="00C7389D"/>
    <w:rsid w:val="00C73AFC"/>
    <w:rsid w:val="00C73BD9"/>
    <w:rsid w:val="00C73CF3"/>
    <w:rsid w:val="00C73D71"/>
    <w:rsid w:val="00C73D78"/>
    <w:rsid w:val="00C73D86"/>
    <w:rsid w:val="00C73D8D"/>
    <w:rsid w:val="00C74255"/>
    <w:rsid w:val="00C74608"/>
    <w:rsid w:val="00C74806"/>
    <w:rsid w:val="00C74815"/>
    <w:rsid w:val="00C74ED7"/>
    <w:rsid w:val="00C75111"/>
    <w:rsid w:val="00C75137"/>
    <w:rsid w:val="00C751CD"/>
    <w:rsid w:val="00C755A3"/>
    <w:rsid w:val="00C758F7"/>
    <w:rsid w:val="00C75B89"/>
    <w:rsid w:val="00C75BFB"/>
    <w:rsid w:val="00C75E67"/>
    <w:rsid w:val="00C7633C"/>
    <w:rsid w:val="00C766E4"/>
    <w:rsid w:val="00C76803"/>
    <w:rsid w:val="00C76860"/>
    <w:rsid w:val="00C76ACB"/>
    <w:rsid w:val="00C76D81"/>
    <w:rsid w:val="00C77136"/>
    <w:rsid w:val="00C77315"/>
    <w:rsid w:val="00C77F69"/>
    <w:rsid w:val="00C8069D"/>
    <w:rsid w:val="00C80880"/>
    <w:rsid w:val="00C80903"/>
    <w:rsid w:val="00C810AC"/>
    <w:rsid w:val="00C8157B"/>
    <w:rsid w:val="00C81600"/>
    <w:rsid w:val="00C81ADD"/>
    <w:rsid w:val="00C81F1B"/>
    <w:rsid w:val="00C820E2"/>
    <w:rsid w:val="00C8211C"/>
    <w:rsid w:val="00C822D5"/>
    <w:rsid w:val="00C82325"/>
    <w:rsid w:val="00C82543"/>
    <w:rsid w:val="00C826A2"/>
    <w:rsid w:val="00C827AD"/>
    <w:rsid w:val="00C82817"/>
    <w:rsid w:val="00C82902"/>
    <w:rsid w:val="00C82955"/>
    <w:rsid w:val="00C82D6B"/>
    <w:rsid w:val="00C83052"/>
    <w:rsid w:val="00C8333A"/>
    <w:rsid w:val="00C8340F"/>
    <w:rsid w:val="00C83469"/>
    <w:rsid w:val="00C83B16"/>
    <w:rsid w:val="00C83C6A"/>
    <w:rsid w:val="00C84296"/>
    <w:rsid w:val="00C84333"/>
    <w:rsid w:val="00C847B5"/>
    <w:rsid w:val="00C84969"/>
    <w:rsid w:val="00C84977"/>
    <w:rsid w:val="00C84A55"/>
    <w:rsid w:val="00C84FDD"/>
    <w:rsid w:val="00C8507B"/>
    <w:rsid w:val="00C85094"/>
    <w:rsid w:val="00C85211"/>
    <w:rsid w:val="00C85486"/>
    <w:rsid w:val="00C85855"/>
    <w:rsid w:val="00C858AB"/>
    <w:rsid w:val="00C859D3"/>
    <w:rsid w:val="00C85BDB"/>
    <w:rsid w:val="00C85C3F"/>
    <w:rsid w:val="00C85D21"/>
    <w:rsid w:val="00C85D64"/>
    <w:rsid w:val="00C85E60"/>
    <w:rsid w:val="00C864B7"/>
    <w:rsid w:val="00C86850"/>
    <w:rsid w:val="00C869C9"/>
    <w:rsid w:val="00C86A02"/>
    <w:rsid w:val="00C86BCC"/>
    <w:rsid w:val="00C86C83"/>
    <w:rsid w:val="00C86D88"/>
    <w:rsid w:val="00C86EE5"/>
    <w:rsid w:val="00C86F08"/>
    <w:rsid w:val="00C86FE3"/>
    <w:rsid w:val="00C87026"/>
    <w:rsid w:val="00C870D0"/>
    <w:rsid w:val="00C878B0"/>
    <w:rsid w:val="00C87A90"/>
    <w:rsid w:val="00C87B1B"/>
    <w:rsid w:val="00C9013C"/>
    <w:rsid w:val="00C9036E"/>
    <w:rsid w:val="00C90675"/>
    <w:rsid w:val="00C90AB8"/>
    <w:rsid w:val="00C90C45"/>
    <w:rsid w:val="00C90D8E"/>
    <w:rsid w:val="00C91195"/>
    <w:rsid w:val="00C9135D"/>
    <w:rsid w:val="00C915FE"/>
    <w:rsid w:val="00C91709"/>
    <w:rsid w:val="00C91E7B"/>
    <w:rsid w:val="00C9206B"/>
    <w:rsid w:val="00C92140"/>
    <w:rsid w:val="00C92984"/>
    <w:rsid w:val="00C92E04"/>
    <w:rsid w:val="00C932A6"/>
    <w:rsid w:val="00C93318"/>
    <w:rsid w:val="00C93977"/>
    <w:rsid w:val="00C93987"/>
    <w:rsid w:val="00C9408A"/>
    <w:rsid w:val="00C9417E"/>
    <w:rsid w:val="00C942DF"/>
    <w:rsid w:val="00C943F6"/>
    <w:rsid w:val="00C946F5"/>
    <w:rsid w:val="00C94C1A"/>
    <w:rsid w:val="00C94C80"/>
    <w:rsid w:val="00C94D93"/>
    <w:rsid w:val="00C95247"/>
    <w:rsid w:val="00C95511"/>
    <w:rsid w:val="00C95602"/>
    <w:rsid w:val="00C95CC7"/>
    <w:rsid w:val="00C96130"/>
    <w:rsid w:val="00C964F0"/>
    <w:rsid w:val="00C966B6"/>
    <w:rsid w:val="00C9670E"/>
    <w:rsid w:val="00C96789"/>
    <w:rsid w:val="00C967BE"/>
    <w:rsid w:val="00C96899"/>
    <w:rsid w:val="00C968F2"/>
    <w:rsid w:val="00C96AE3"/>
    <w:rsid w:val="00C96B3A"/>
    <w:rsid w:val="00C96FCD"/>
    <w:rsid w:val="00C970FC"/>
    <w:rsid w:val="00C973BB"/>
    <w:rsid w:val="00C97934"/>
    <w:rsid w:val="00C97FFA"/>
    <w:rsid w:val="00CA0296"/>
    <w:rsid w:val="00CA02F9"/>
    <w:rsid w:val="00CA0400"/>
    <w:rsid w:val="00CA089F"/>
    <w:rsid w:val="00CA0905"/>
    <w:rsid w:val="00CA0963"/>
    <w:rsid w:val="00CA0D6B"/>
    <w:rsid w:val="00CA0F0F"/>
    <w:rsid w:val="00CA10D9"/>
    <w:rsid w:val="00CA11C4"/>
    <w:rsid w:val="00CA190F"/>
    <w:rsid w:val="00CA19CF"/>
    <w:rsid w:val="00CA1EA3"/>
    <w:rsid w:val="00CA228A"/>
    <w:rsid w:val="00CA2721"/>
    <w:rsid w:val="00CA2879"/>
    <w:rsid w:val="00CA2BCE"/>
    <w:rsid w:val="00CA2BF2"/>
    <w:rsid w:val="00CA2C90"/>
    <w:rsid w:val="00CA2DBA"/>
    <w:rsid w:val="00CA322D"/>
    <w:rsid w:val="00CA326F"/>
    <w:rsid w:val="00CA3CFF"/>
    <w:rsid w:val="00CA3F6B"/>
    <w:rsid w:val="00CA3FF6"/>
    <w:rsid w:val="00CA4085"/>
    <w:rsid w:val="00CA4486"/>
    <w:rsid w:val="00CA4A6C"/>
    <w:rsid w:val="00CA4F9B"/>
    <w:rsid w:val="00CA57CC"/>
    <w:rsid w:val="00CA5860"/>
    <w:rsid w:val="00CA59CB"/>
    <w:rsid w:val="00CA5A5E"/>
    <w:rsid w:val="00CA5B65"/>
    <w:rsid w:val="00CA5BC6"/>
    <w:rsid w:val="00CA5FED"/>
    <w:rsid w:val="00CA6104"/>
    <w:rsid w:val="00CA6302"/>
    <w:rsid w:val="00CA6365"/>
    <w:rsid w:val="00CA637D"/>
    <w:rsid w:val="00CA656E"/>
    <w:rsid w:val="00CA6694"/>
    <w:rsid w:val="00CA6755"/>
    <w:rsid w:val="00CA6E60"/>
    <w:rsid w:val="00CA6E7C"/>
    <w:rsid w:val="00CA7422"/>
    <w:rsid w:val="00CA7441"/>
    <w:rsid w:val="00CA7474"/>
    <w:rsid w:val="00CA7BC3"/>
    <w:rsid w:val="00CA7BCF"/>
    <w:rsid w:val="00CA7DAB"/>
    <w:rsid w:val="00CA7E06"/>
    <w:rsid w:val="00CA7E28"/>
    <w:rsid w:val="00CA7E4B"/>
    <w:rsid w:val="00CB011E"/>
    <w:rsid w:val="00CB0538"/>
    <w:rsid w:val="00CB05EC"/>
    <w:rsid w:val="00CB0665"/>
    <w:rsid w:val="00CB0768"/>
    <w:rsid w:val="00CB0CFD"/>
    <w:rsid w:val="00CB125E"/>
    <w:rsid w:val="00CB135D"/>
    <w:rsid w:val="00CB17A8"/>
    <w:rsid w:val="00CB1BB3"/>
    <w:rsid w:val="00CB2388"/>
    <w:rsid w:val="00CB23ED"/>
    <w:rsid w:val="00CB2870"/>
    <w:rsid w:val="00CB28FB"/>
    <w:rsid w:val="00CB2A3F"/>
    <w:rsid w:val="00CB2A56"/>
    <w:rsid w:val="00CB3048"/>
    <w:rsid w:val="00CB35BB"/>
    <w:rsid w:val="00CB3898"/>
    <w:rsid w:val="00CB3AB2"/>
    <w:rsid w:val="00CB40F4"/>
    <w:rsid w:val="00CB43A9"/>
    <w:rsid w:val="00CB46C6"/>
    <w:rsid w:val="00CB46D3"/>
    <w:rsid w:val="00CB4931"/>
    <w:rsid w:val="00CB49C6"/>
    <w:rsid w:val="00CB4AC5"/>
    <w:rsid w:val="00CB4BE6"/>
    <w:rsid w:val="00CB4F36"/>
    <w:rsid w:val="00CB5042"/>
    <w:rsid w:val="00CB5218"/>
    <w:rsid w:val="00CB5288"/>
    <w:rsid w:val="00CB534C"/>
    <w:rsid w:val="00CB56C2"/>
    <w:rsid w:val="00CB57DC"/>
    <w:rsid w:val="00CB6270"/>
    <w:rsid w:val="00CB6506"/>
    <w:rsid w:val="00CB65F0"/>
    <w:rsid w:val="00CB681B"/>
    <w:rsid w:val="00CB6C29"/>
    <w:rsid w:val="00CB6FBE"/>
    <w:rsid w:val="00CB7054"/>
    <w:rsid w:val="00CB73EF"/>
    <w:rsid w:val="00CB7773"/>
    <w:rsid w:val="00CB7A79"/>
    <w:rsid w:val="00CB7AF4"/>
    <w:rsid w:val="00CB7E13"/>
    <w:rsid w:val="00CB7F0B"/>
    <w:rsid w:val="00CC0301"/>
    <w:rsid w:val="00CC0302"/>
    <w:rsid w:val="00CC04BE"/>
    <w:rsid w:val="00CC066E"/>
    <w:rsid w:val="00CC077F"/>
    <w:rsid w:val="00CC0837"/>
    <w:rsid w:val="00CC0947"/>
    <w:rsid w:val="00CC0991"/>
    <w:rsid w:val="00CC0C03"/>
    <w:rsid w:val="00CC1178"/>
    <w:rsid w:val="00CC12DD"/>
    <w:rsid w:val="00CC1A5B"/>
    <w:rsid w:val="00CC1B63"/>
    <w:rsid w:val="00CC1C01"/>
    <w:rsid w:val="00CC23B0"/>
    <w:rsid w:val="00CC2B08"/>
    <w:rsid w:val="00CC2DFC"/>
    <w:rsid w:val="00CC2FF8"/>
    <w:rsid w:val="00CC32BB"/>
    <w:rsid w:val="00CC3609"/>
    <w:rsid w:val="00CC3AC5"/>
    <w:rsid w:val="00CC3E1F"/>
    <w:rsid w:val="00CC4361"/>
    <w:rsid w:val="00CC4B20"/>
    <w:rsid w:val="00CC4D99"/>
    <w:rsid w:val="00CC50EC"/>
    <w:rsid w:val="00CC54AC"/>
    <w:rsid w:val="00CC574E"/>
    <w:rsid w:val="00CC5780"/>
    <w:rsid w:val="00CC5940"/>
    <w:rsid w:val="00CC5F2E"/>
    <w:rsid w:val="00CC64AC"/>
    <w:rsid w:val="00CC6516"/>
    <w:rsid w:val="00CC679B"/>
    <w:rsid w:val="00CC6839"/>
    <w:rsid w:val="00CC6BFE"/>
    <w:rsid w:val="00CC6FFB"/>
    <w:rsid w:val="00CC720D"/>
    <w:rsid w:val="00CC752D"/>
    <w:rsid w:val="00CC77B0"/>
    <w:rsid w:val="00CC7C41"/>
    <w:rsid w:val="00CD00BF"/>
    <w:rsid w:val="00CD0292"/>
    <w:rsid w:val="00CD073A"/>
    <w:rsid w:val="00CD11E0"/>
    <w:rsid w:val="00CD1266"/>
    <w:rsid w:val="00CD12AB"/>
    <w:rsid w:val="00CD1415"/>
    <w:rsid w:val="00CD1497"/>
    <w:rsid w:val="00CD17EE"/>
    <w:rsid w:val="00CD1B11"/>
    <w:rsid w:val="00CD1C65"/>
    <w:rsid w:val="00CD1F86"/>
    <w:rsid w:val="00CD2035"/>
    <w:rsid w:val="00CD2102"/>
    <w:rsid w:val="00CD21FA"/>
    <w:rsid w:val="00CD22AC"/>
    <w:rsid w:val="00CD2301"/>
    <w:rsid w:val="00CD25AA"/>
    <w:rsid w:val="00CD27DE"/>
    <w:rsid w:val="00CD2CFF"/>
    <w:rsid w:val="00CD2D22"/>
    <w:rsid w:val="00CD302E"/>
    <w:rsid w:val="00CD3047"/>
    <w:rsid w:val="00CD3072"/>
    <w:rsid w:val="00CD317D"/>
    <w:rsid w:val="00CD3271"/>
    <w:rsid w:val="00CD32DD"/>
    <w:rsid w:val="00CD3398"/>
    <w:rsid w:val="00CD33A3"/>
    <w:rsid w:val="00CD3714"/>
    <w:rsid w:val="00CD37F1"/>
    <w:rsid w:val="00CD37FF"/>
    <w:rsid w:val="00CD3A05"/>
    <w:rsid w:val="00CD3AFF"/>
    <w:rsid w:val="00CD442D"/>
    <w:rsid w:val="00CD466D"/>
    <w:rsid w:val="00CD4D22"/>
    <w:rsid w:val="00CD5184"/>
    <w:rsid w:val="00CD5660"/>
    <w:rsid w:val="00CD5C77"/>
    <w:rsid w:val="00CD62B9"/>
    <w:rsid w:val="00CD6920"/>
    <w:rsid w:val="00CD6B17"/>
    <w:rsid w:val="00CD6DAB"/>
    <w:rsid w:val="00CD707E"/>
    <w:rsid w:val="00CD7613"/>
    <w:rsid w:val="00CD7982"/>
    <w:rsid w:val="00CD7A39"/>
    <w:rsid w:val="00CD7BC3"/>
    <w:rsid w:val="00CD7D1B"/>
    <w:rsid w:val="00CD7D7D"/>
    <w:rsid w:val="00CE03E8"/>
    <w:rsid w:val="00CE054E"/>
    <w:rsid w:val="00CE0BA6"/>
    <w:rsid w:val="00CE10C9"/>
    <w:rsid w:val="00CE112F"/>
    <w:rsid w:val="00CE1168"/>
    <w:rsid w:val="00CE122A"/>
    <w:rsid w:val="00CE1268"/>
    <w:rsid w:val="00CE127B"/>
    <w:rsid w:val="00CE16DF"/>
    <w:rsid w:val="00CE178D"/>
    <w:rsid w:val="00CE1A50"/>
    <w:rsid w:val="00CE1D7C"/>
    <w:rsid w:val="00CE21D5"/>
    <w:rsid w:val="00CE29C1"/>
    <w:rsid w:val="00CE2F5F"/>
    <w:rsid w:val="00CE3018"/>
    <w:rsid w:val="00CE32C1"/>
    <w:rsid w:val="00CE33FF"/>
    <w:rsid w:val="00CE3419"/>
    <w:rsid w:val="00CE3490"/>
    <w:rsid w:val="00CE3494"/>
    <w:rsid w:val="00CE35DB"/>
    <w:rsid w:val="00CE360E"/>
    <w:rsid w:val="00CE394F"/>
    <w:rsid w:val="00CE3AB5"/>
    <w:rsid w:val="00CE3AF7"/>
    <w:rsid w:val="00CE3D18"/>
    <w:rsid w:val="00CE3F6A"/>
    <w:rsid w:val="00CE3FF8"/>
    <w:rsid w:val="00CE41F8"/>
    <w:rsid w:val="00CE439C"/>
    <w:rsid w:val="00CE4518"/>
    <w:rsid w:val="00CE4734"/>
    <w:rsid w:val="00CE47A5"/>
    <w:rsid w:val="00CE484B"/>
    <w:rsid w:val="00CE4B53"/>
    <w:rsid w:val="00CE4C2F"/>
    <w:rsid w:val="00CE504A"/>
    <w:rsid w:val="00CE5183"/>
    <w:rsid w:val="00CE52ED"/>
    <w:rsid w:val="00CE56DA"/>
    <w:rsid w:val="00CE5824"/>
    <w:rsid w:val="00CE5EEB"/>
    <w:rsid w:val="00CE600E"/>
    <w:rsid w:val="00CE6553"/>
    <w:rsid w:val="00CE6561"/>
    <w:rsid w:val="00CE6619"/>
    <w:rsid w:val="00CE68F9"/>
    <w:rsid w:val="00CE6BDC"/>
    <w:rsid w:val="00CE6C82"/>
    <w:rsid w:val="00CE70F6"/>
    <w:rsid w:val="00CE71A3"/>
    <w:rsid w:val="00CE7A45"/>
    <w:rsid w:val="00CE7DF9"/>
    <w:rsid w:val="00CE7F11"/>
    <w:rsid w:val="00CF00C2"/>
    <w:rsid w:val="00CF020F"/>
    <w:rsid w:val="00CF0A4D"/>
    <w:rsid w:val="00CF12FE"/>
    <w:rsid w:val="00CF134C"/>
    <w:rsid w:val="00CF145E"/>
    <w:rsid w:val="00CF1809"/>
    <w:rsid w:val="00CF1AFF"/>
    <w:rsid w:val="00CF1E35"/>
    <w:rsid w:val="00CF2688"/>
    <w:rsid w:val="00CF27D8"/>
    <w:rsid w:val="00CF2806"/>
    <w:rsid w:val="00CF284F"/>
    <w:rsid w:val="00CF36FE"/>
    <w:rsid w:val="00CF3A39"/>
    <w:rsid w:val="00CF3EE5"/>
    <w:rsid w:val="00CF419B"/>
    <w:rsid w:val="00CF447D"/>
    <w:rsid w:val="00CF476F"/>
    <w:rsid w:val="00CF4ACC"/>
    <w:rsid w:val="00CF4D01"/>
    <w:rsid w:val="00CF4DB7"/>
    <w:rsid w:val="00CF4F28"/>
    <w:rsid w:val="00CF5171"/>
    <w:rsid w:val="00CF52DD"/>
    <w:rsid w:val="00CF5788"/>
    <w:rsid w:val="00CF5B6F"/>
    <w:rsid w:val="00CF5F4D"/>
    <w:rsid w:val="00CF60CD"/>
    <w:rsid w:val="00CF6451"/>
    <w:rsid w:val="00CF65E9"/>
    <w:rsid w:val="00CF68EE"/>
    <w:rsid w:val="00CF6A3C"/>
    <w:rsid w:val="00CF6A8E"/>
    <w:rsid w:val="00CF6FE8"/>
    <w:rsid w:val="00CF716E"/>
    <w:rsid w:val="00CF72F3"/>
    <w:rsid w:val="00CF7777"/>
    <w:rsid w:val="00CF7865"/>
    <w:rsid w:val="00CF7E03"/>
    <w:rsid w:val="00D00070"/>
    <w:rsid w:val="00D005CD"/>
    <w:rsid w:val="00D00794"/>
    <w:rsid w:val="00D0093D"/>
    <w:rsid w:val="00D00BC5"/>
    <w:rsid w:val="00D00FA1"/>
    <w:rsid w:val="00D015BF"/>
    <w:rsid w:val="00D0186F"/>
    <w:rsid w:val="00D01A16"/>
    <w:rsid w:val="00D01B3C"/>
    <w:rsid w:val="00D01FED"/>
    <w:rsid w:val="00D0294D"/>
    <w:rsid w:val="00D02A13"/>
    <w:rsid w:val="00D02AF8"/>
    <w:rsid w:val="00D02C03"/>
    <w:rsid w:val="00D03BE3"/>
    <w:rsid w:val="00D03D4A"/>
    <w:rsid w:val="00D03F1F"/>
    <w:rsid w:val="00D041C6"/>
    <w:rsid w:val="00D042E0"/>
    <w:rsid w:val="00D044F8"/>
    <w:rsid w:val="00D0464E"/>
    <w:rsid w:val="00D0483C"/>
    <w:rsid w:val="00D04B17"/>
    <w:rsid w:val="00D04C56"/>
    <w:rsid w:val="00D04E16"/>
    <w:rsid w:val="00D0513F"/>
    <w:rsid w:val="00D05377"/>
    <w:rsid w:val="00D05441"/>
    <w:rsid w:val="00D05982"/>
    <w:rsid w:val="00D05EDF"/>
    <w:rsid w:val="00D05EE2"/>
    <w:rsid w:val="00D05F48"/>
    <w:rsid w:val="00D06085"/>
    <w:rsid w:val="00D0640A"/>
    <w:rsid w:val="00D066FD"/>
    <w:rsid w:val="00D06799"/>
    <w:rsid w:val="00D06A6A"/>
    <w:rsid w:val="00D06F87"/>
    <w:rsid w:val="00D070E7"/>
    <w:rsid w:val="00D071B8"/>
    <w:rsid w:val="00D071E9"/>
    <w:rsid w:val="00D079EF"/>
    <w:rsid w:val="00D07A01"/>
    <w:rsid w:val="00D07E9B"/>
    <w:rsid w:val="00D07EB0"/>
    <w:rsid w:val="00D07F95"/>
    <w:rsid w:val="00D101DF"/>
    <w:rsid w:val="00D10473"/>
    <w:rsid w:val="00D10BD0"/>
    <w:rsid w:val="00D11179"/>
    <w:rsid w:val="00D11465"/>
    <w:rsid w:val="00D11959"/>
    <w:rsid w:val="00D11A9E"/>
    <w:rsid w:val="00D11E19"/>
    <w:rsid w:val="00D121D3"/>
    <w:rsid w:val="00D122E9"/>
    <w:rsid w:val="00D128DB"/>
    <w:rsid w:val="00D12982"/>
    <w:rsid w:val="00D12A9E"/>
    <w:rsid w:val="00D12B99"/>
    <w:rsid w:val="00D12F76"/>
    <w:rsid w:val="00D13311"/>
    <w:rsid w:val="00D13461"/>
    <w:rsid w:val="00D138B4"/>
    <w:rsid w:val="00D140A7"/>
    <w:rsid w:val="00D14213"/>
    <w:rsid w:val="00D1432C"/>
    <w:rsid w:val="00D1487C"/>
    <w:rsid w:val="00D14AA3"/>
    <w:rsid w:val="00D14CE3"/>
    <w:rsid w:val="00D14E07"/>
    <w:rsid w:val="00D15A09"/>
    <w:rsid w:val="00D15FE1"/>
    <w:rsid w:val="00D16041"/>
    <w:rsid w:val="00D16530"/>
    <w:rsid w:val="00D16605"/>
    <w:rsid w:val="00D16DAB"/>
    <w:rsid w:val="00D17119"/>
    <w:rsid w:val="00D1755E"/>
    <w:rsid w:val="00D175AD"/>
    <w:rsid w:val="00D17621"/>
    <w:rsid w:val="00D17976"/>
    <w:rsid w:val="00D17AC6"/>
    <w:rsid w:val="00D17D23"/>
    <w:rsid w:val="00D17DC5"/>
    <w:rsid w:val="00D17DE7"/>
    <w:rsid w:val="00D20033"/>
    <w:rsid w:val="00D20241"/>
    <w:rsid w:val="00D20583"/>
    <w:rsid w:val="00D206DA"/>
    <w:rsid w:val="00D207AA"/>
    <w:rsid w:val="00D20823"/>
    <w:rsid w:val="00D2098E"/>
    <w:rsid w:val="00D2112B"/>
    <w:rsid w:val="00D21358"/>
    <w:rsid w:val="00D214AD"/>
    <w:rsid w:val="00D217F6"/>
    <w:rsid w:val="00D219FE"/>
    <w:rsid w:val="00D21E4D"/>
    <w:rsid w:val="00D21F82"/>
    <w:rsid w:val="00D22301"/>
    <w:rsid w:val="00D223EA"/>
    <w:rsid w:val="00D2242C"/>
    <w:rsid w:val="00D2261B"/>
    <w:rsid w:val="00D2271C"/>
    <w:rsid w:val="00D22C18"/>
    <w:rsid w:val="00D23146"/>
    <w:rsid w:val="00D236A6"/>
    <w:rsid w:val="00D23BD1"/>
    <w:rsid w:val="00D23C2D"/>
    <w:rsid w:val="00D23C55"/>
    <w:rsid w:val="00D24738"/>
    <w:rsid w:val="00D2491C"/>
    <w:rsid w:val="00D24D2C"/>
    <w:rsid w:val="00D24DAE"/>
    <w:rsid w:val="00D24E71"/>
    <w:rsid w:val="00D25187"/>
    <w:rsid w:val="00D251F8"/>
    <w:rsid w:val="00D25333"/>
    <w:rsid w:val="00D25443"/>
    <w:rsid w:val="00D2552A"/>
    <w:rsid w:val="00D255AE"/>
    <w:rsid w:val="00D256F2"/>
    <w:rsid w:val="00D25A62"/>
    <w:rsid w:val="00D25ACF"/>
    <w:rsid w:val="00D25B98"/>
    <w:rsid w:val="00D25D10"/>
    <w:rsid w:val="00D25DD9"/>
    <w:rsid w:val="00D25E1D"/>
    <w:rsid w:val="00D2610E"/>
    <w:rsid w:val="00D268BC"/>
    <w:rsid w:val="00D26D69"/>
    <w:rsid w:val="00D26EB7"/>
    <w:rsid w:val="00D26EC2"/>
    <w:rsid w:val="00D26F4B"/>
    <w:rsid w:val="00D2710C"/>
    <w:rsid w:val="00D27130"/>
    <w:rsid w:val="00D2724E"/>
    <w:rsid w:val="00D272D1"/>
    <w:rsid w:val="00D2770A"/>
    <w:rsid w:val="00D27CF4"/>
    <w:rsid w:val="00D27D93"/>
    <w:rsid w:val="00D27F46"/>
    <w:rsid w:val="00D3009B"/>
    <w:rsid w:val="00D304A1"/>
    <w:rsid w:val="00D304F9"/>
    <w:rsid w:val="00D30936"/>
    <w:rsid w:val="00D30E37"/>
    <w:rsid w:val="00D30F33"/>
    <w:rsid w:val="00D30FB6"/>
    <w:rsid w:val="00D3165E"/>
    <w:rsid w:val="00D31689"/>
    <w:rsid w:val="00D3176B"/>
    <w:rsid w:val="00D3241E"/>
    <w:rsid w:val="00D32BC2"/>
    <w:rsid w:val="00D32BDD"/>
    <w:rsid w:val="00D32D0A"/>
    <w:rsid w:val="00D32E98"/>
    <w:rsid w:val="00D32FCD"/>
    <w:rsid w:val="00D33343"/>
    <w:rsid w:val="00D3377C"/>
    <w:rsid w:val="00D33C3A"/>
    <w:rsid w:val="00D33C79"/>
    <w:rsid w:val="00D340EA"/>
    <w:rsid w:val="00D341CC"/>
    <w:rsid w:val="00D34525"/>
    <w:rsid w:val="00D34628"/>
    <w:rsid w:val="00D34694"/>
    <w:rsid w:val="00D34719"/>
    <w:rsid w:val="00D34A92"/>
    <w:rsid w:val="00D34D6E"/>
    <w:rsid w:val="00D35160"/>
    <w:rsid w:val="00D35334"/>
    <w:rsid w:val="00D3543F"/>
    <w:rsid w:val="00D36270"/>
    <w:rsid w:val="00D364D3"/>
    <w:rsid w:val="00D36983"/>
    <w:rsid w:val="00D36B14"/>
    <w:rsid w:val="00D36C82"/>
    <w:rsid w:val="00D36D74"/>
    <w:rsid w:val="00D36E3D"/>
    <w:rsid w:val="00D370DC"/>
    <w:rsid w:val="00D3717A"/>
    <w:rsid w:val="00D37C4C"/>
    <w:rsid w:val="00D37FE0"/>
    <w:rsid w:val="00D40209"/>
    <w:rsid w:val="00D4024B"/>
    <w:rsid w:val="00D406E2"/>
    <w:rsid w:val="00D40B81"/>
    <w:rsid w:val="00D40EC3"/>
    <w:rsid w:val="00D41012"/>
    <w:rsid w:val="00D410C0"/>
    <w:rsid w:val="00D415E4"/>
    <w:rsid w:val="00D415E5"/>
    <w:rsid w:val="00D41EB6"/>
    <w:rsid w:val="00D42153"/>
    <w:rsid w:val="00D42A4D"/>
    <w:rsid w:val="00D42C60"/>
    <w:rsid w:val="00D42E5E"/>
    <w:rsid w:val="00D43156"/>
    <w:rsid w:val="00D437D4"/>
    <w:rsid w:val="00D437EB"/>
    <w:rsid w:val="00D43818"/>
    <w:rsid w:val="00D43920"/>
    <w:rsid w:val="00D43AAE"/>
    <w:rsid w:val="00D43C10"/>
    <w:rsid w:val="00D43D96"/>
    <w:rsid w:val="00D43FE1"/>
    <w:rsid w:val="00D4402F"/>
    <w:rsid w:val="00D440EB"/>
    <w:rsid w:val="00D44332"/>
    <w:rsid w:val="00D449BA"/>
    <w:rsid w:val="00D45121"/>
    <w:rsid w:val="00D452C2"/>
    <w:rsid w:val="00D45349"/>
    <w:rsid w:val="00D459BD"/>
    <w:rsid w:val="00D45B19"/>
    <w:rsid w:val="00D45C68"/>
    <w:rsid w:val="00D45CAA"/>
    <w:rsid w:val="00D45CCC"/>
    <w:rsid w:val="00D45D79"/>
    <w:rsid w:val="00D45EBC"/>
    <w:rsid w:val="00D45F97"/>
    <w:rsid w:val="00D46879"/>
    <w:rsid w:val="00D46C49"/>
    <w:rsid w:val="00D46CD8"/>
    <w:rsid w:val="00D46ED8"/>
    <w:rsid w:val="00D4708C"/>
    <w:rsid w:val="00D47137"/>
    <w:rsid w:val="00D4728E"/>
    <w:rsid w:val="00D476C6"/>
    <w:rsid w:val="00D4782E"/>
    <w:rsid w:val="00D47B4C"/>
    <w:rsid w:val="00D47DCC"/>
    <w:rsid w:val="00D503DB"/>
    <w:rsid w:val="00D50542"/>
    <w:rsid w:val="00D5063C"/>
    <w:rsid w:val="00D50768"/>
    <w:rsid w:val="00D50F91"/>
    <w:rsid w:val="00D511D8"/>
    <w:rsid w:val="00D51218"/>
    <w:rsid w:val="00D51328"/>
    <w:rsid w:val="00D5142D"/>
    <w:rsid w:val="00D51463"/>
    <w:rsid w:val="00D51753"/>
    <w:rsid w:val="00D51974"/>
    <w:rsid w:val="00D51AE2"/>
    <w:rsid w:val="00D51B10"/>
    <w:rsid w:val="00D51FFB"/>
    <w:rsid w:val="00D52036"/>
    <w:rsid w:val="00D52152"/>
    <w:rsid w:val="00D52352"/>
    <w:rsid w:val="00D523A6"/>
    <w:rsid w:val="00D526DC"/>
    <w:rsid w:val="00D5270F"/>
    <w:rsid w:val="00D5276E"/>
    <w:rsid w:val="00D529C0"/>
    <w:rsid w:val="00D529C6"/>
    <w:rsid w:val="00D52CC1"/>
    <w:rsid w:val="00D52EC2"/>
    <w:rsid w:val="00D5319B"/>
    <w:rsid w:val="00D531D5"/>
    <w:rsid w:val="00D532DC"/>
    <w:rsid w:val="00D539CD"/>
    <w:rsid w:val="00D53BE1"/>
    <w:rsid w:val="00D53F16"/>
    <w:rsid w:val="00D54030"/>
    <w:rsid w:val="00D540C1"/>
    <w:rsid w:val="00D5416A"/>
    <w:rsid w:val="00D5467F"/>
    <w:rsid w:val="00D548F5"/>
    <w:rsid w:val="00D54A28"/>
    <w:rsid w:val="00D54A33"/>
    <w:rsid w:val="00D54D9A"/>
    <w:rsid w:val="00D54F81"/>
    <w:rsid w:val="00D5504E"/>
    <w:rsid w:val="00D555B3"/>
    <w:rsid w:val="00D56519"/>
    <w:rsid w:val="00D567AE"/>
    <w:rsid w:val="00D56970"/>
    <w:rsid w:val="00D56E9F"/>
    <w:rsid w:val="00D56F77"/>
    <w:rsid w:val="00D571C2"/>
    <w:rsid w:val="00D57751"/>
    <w:rsid w:val="00D57775"/>
    <w:rsid w:val="00D578DC"/>
    <w:rsid w:val="00D60121"/>
    <w:rsid w:val="00D60885"/>
    <w:rsid w:val="00D60A46"/>
    <w:rsid w:val="00D60C83"/>
    <w:rsid w:val="00D60F4D"/>
    <w:rsid w:val="00D61868"/>
    <w:rsid w:val="00D619CB"/>
    <w:rsid w:val="00D61A03"/>
    <w:rsid w:val="00D62096"/>
    <w:rsid w:val="00D622EF"/>
    <w:rsid w:val="00D624B5"/>
    <w:rsid w:val="00D62596"/>
    <w:rsid w:val="00D62D94"/>
    <w:rsid w:val="00D63327"/>
    <w:rsid w:val="00D636F5"/>
    <w:rsid w:val="00D63774"/>
    <w:rsid w:val="00D638ED"/>
    <w:rsid w:val="00D63976"/>
    <w:rsid w:val="00D63A97"/>
    <w:rsid w:val="00D63CDE"/>
    <w:rsid w:val="00D63E89"/>
    <w:rsid w:val="00D64048"/>
    <w:rsid w:val="00D64351"/>
    <w:rsid w:val="00D645FA"/>
    <w:rsid w:val="00D65409"/>
    <w:rsid w:val="00D65D39"/>
    <w:rsid w:val="00D66207"/>
    <w:rsid w:val="00D6652B"/>
    <w:rsid w:val="00D66A42"/>
    <w:rsid w:val="00D66A7D"/>
    <w:rsid w:val="00D66CCB"/>
    <w:rsid w:val="00D66F86"/>
    <w:rsid w:val="00D66F8E"/>
    <w:rsid w:val="00D67315"/>
    <w:rsid w:val="00D6747F"/>
    <w:rsid w:val="00D6778E"/>
    <w:rsid w:val="00D6783D"/>
    <w:rsid w:val="00D67859"/>
    <w:rsid w:val="00D67BB9"/>
    <w:rsid w:val="00D67F3E"/>
    <w:rsid w:val="00D70190"/>
    <w:rsid w:val="00D70760"/>
    <w:rsid w:val="00D70772"/>
    <w:rsid w:val="00D70948"/>
    <w:rsid w:val="00D70972"/>
    <w:rsid w:val="00D70C46"/>
    <w:rsid w:val="00D70CA4"/>
    <w:rsid w:val="00D70E97"/>
    <w:rsid w:val="00D7143E"/>
    <w:rsid w:val="00D71475"/>
    <w:rsid w:val="00D714E2"/>
    <w:rsid w:val="00D715B5"/>
    <w:rsid w:val="00D71C68"/>
    <w:rsid w:val="00D72019"/>
    <w:rsid w:val="00D72ABD"/>
    <w:rsid w:val="00D72F77"/>
    <w:rsid w:val="00D73409"/>
    <w:rsid w:val="00D73596"/>
    <w:rsid w:val="00D736EF"/>
    <w:rsid w:val="00D73D5A"/>
    <w:rsid w:val="00D74749"/>
    <w:rsid w:val="00D74769"/>
    <w:rsid w:val="00D74E49"/>
    <w:rsid w:val="00D75029"/>
    <w:rsid w:val="00D756DA"/>
    <w:rsid w:val="00D75710"/>
    <w:rsid w:val="00D75724"/>
    <w:rsid w:val="00D75A3E"/>
    <w:rsid w:val="00D75B3C"/>
    <w:rsid w:val="00D75C26"/>
    <w:rsid w:val="00D75EFE"/>
    <w:rsid w:val="00D762C7"/>
    <w:rsid w:val="00D764CA"/>
    <w:rsid w:val="00D7650F"/>
    <w:rsid w:val="00D76762"/>
    <w:rsid w:val="00D767C7"/>
    <w:rsid w:val="00D76892"/>
    <w:rsid w:val="00D76C3D"/>
    <w:rsid w:val="00D76E66"/>
    <w:rsid w:val="00D76FE5"/>
    <w:rsid w:val="00D7716F"/>
    <w:rsid w:val="00D772BD"/>
    <w:rsid w:val="00D774A2"/>
    <w:rsid w:val="00D77ADF"/>
    <w:rsid w:val="00D77FAF"/>
    <w:rsid w:val="00D77FC5"/>
    <w:rsid w:val="00D80102"/>
    <w:rsid w:val="00D801EA"/>
    <w:rsid w:val="00D80440"/>
    <w:rsid w:val="00D80525"/>
    <w:rsid w:val="00D8052C"/>
    <w:rsid w:val="00D8070A"/>
    <w:rsid w:val="00D8077B"/>
    <w:rsid w:val="00D80A08"/>
    <w:rsid w:val="00D81541"/>
    <w:rsid w:val="00D81A82"/>
    <w:rsid w:val="00D820B9"/>
    <w:rsid w:val="00D82306"/>
    <w:rsid w:val="00D82587"/>
    <w:rsid w:val="00D8288F"/>
    <w:rsid w:val="00D829E3"/>
    <w:rsid w:val="00D82D91"/>
    <w:rsid w:val="00D8353C"/>
    <w:rsid w:val="00D83577"/>
    <w:rsid w:val="00D8372F"/>
    <w:rsid w:val="00D837AB"/>
    <w:rsid w:val="00D837BC"/>
    <w:rsid w:val="00D83868"/>
    <w:rsid w:val="00D83A72"/>
    <w:rsid w:val="00D83C32"/>
    <w:rsid w:val="00D83EF0"/>
    <w:rsid w:val="00D83F13"/>
    <w:rsid w:val="00D83F2E"/>
    <w:rsid w:val="00D846A6"/>
    <w:rsid w:val="00D846B5"/>
    <w:rsid w:val="00D847B8"/>
    <w:rsid w:val="00D84A21"/>
    <w:rsid w:val="00D85625"/>
    <w:rsid w:val="00D856F6"/>
    <w:rsid w:val="00D857D2"/>
    <w:rsid w:val="00D858F4"/>
    <w:rsid w:val="00D86287"/>
    <w:rsid w:val="00D8668E"/>
    <w:rsid w:val="00D866FE"/>
    <w:rsid w:val="00D8698B"/>
    <w:rsid w:val="00D86BA1"/>
    <w:rsid w:val="00D86BE8"/>
    <w:rsid w:val="00D86C2C"/>
    <w:rsid w:val="00D86E68"/>
    <w:rsid w:val="00D86F4F"/>
    <w:rsid w:val="00D87047"/>
    <w:rsid w:val="00D87556"/>
    <w:rsid w:val="00D87615"/>
    <w:rsid w:val="00D87734"/>
    <w:rsid w:val="00D8796A"/>
    <w:rsid w:val="00D87AD3"/>
    <w:rsid w:val="00D87F93"/>
    <w:rsid w:val="00D90487"/>
    <w:rsid w:val="00D90697"/>
    <w:rsid w:val="00D90787"/>
    <w:rsid w:val="00D908B4"/>
    <w:rsid w:val="00D90BC4"/>
    <w:rsid w:val="00D90C22"/>
    <w:rsid w:val="00D912C9"/>
    <w:rsid w:val="00D91402"/>
    <w:rsid w:val="00D91482"/>
    <w:rsid w:val="00D91553"/>
    <w:rsid w:val="00D917B0"/>
    <w:rsid w:val="00D917C3"/>
    <w:rsid w:val="00D917D0"/>
    <w:rsid w:val="00D91C50"/>
    <w:rsid w:val="00D91D40"/>
    <w:rsid w:val="00D91F9B"/>
    <w:rsid w:val="00D91FB3"/>
    <w:rsid w:val="00D91FB7"/>
    <w:rsid w:val="00D92442"/>
    <w:rsid w:val="00D92816"/>
    <w:rsid w:val="00D92AAF"/>
    <w:rsid w:val="00D92B04"/>
    <w:rsid w:val="00D92B71"/>
    <w:rsid w:val="00D92C43"/>
    <w:rsid w:val="00D92F5D"/>
    <w:rsid w:val="00D931C4"/>
    <w:rsid w:val="00D933A1"/>
    <w:rsid w:val="00D935A6"/>
    <w:rsid w:val="00D9381A"/>
    <w:rsid w:val="00D93B00"/>
    <w:rsid w:val="00D93B3D"/>
    <w:rsid w:val="00D93BDF"/>
    <w:rsid w:val="00D93F07"/>
    <w:rsid w:val="00D9407B"/>
    <w:rsid w:val="00D94139"/>
    <w:rsid w:val="00D9416D"/>
    <w:rsid w:val="00D9432C"/>
    <w:rsid w:val="00D94683"/>
    <w:rsid w:val="00D94781"/>
    <w:rsid w:val="00D94B57"/>
    <w:rsid w:val="00D94E5F"/>
    <w:rsid w:val="00D95254"/>
    <w:rsid w:val="00D953E0"/>
    <w:rsid w:val="00D955FA"/>
    <w:rsid w:val="00D957AB"/>
    <w:rsid w:val="00D95D1D"/>
    <w:rsid w:val="00D95DAB"/>
    <w:rsid w:val="00D95DC5"/>
    <w:rsid w:val="00D95DC9"/>
    <w:rsid w:val="00D9608E"/>
    <w:rsid w:val="00D96583"/>
    <w:rsid w:val="00D96673"/>
    <w:rsid w:val="00D96BD3"/>
    <w:rsid w:val="00D96C70"/>
    <w:rsid w:val="00D96CB7"/>
    <w:rsid w:val="00D972D6"/>
    <w:rsid w:val="00D9746B"/>
    <w:rsid w:val="00D9775D"/>
    <w:rsid w:val="00D977F0"/>
    <w:rsid w:val="00D97AF0"/>
    <w:rsid w:val="00D97D9C"/>
    <w:rsid w:val="00DA04BE"/>
    <w:rsid w:val="00DA0590"/>
    <w:rsid w:val="00DA080E"/>
    <w:rsid w:val="00DA0C0C"/>
    <w:rsid w:val="00DA1663"/>
    <w:rsid w:val="00DA1D3B"/>
    <w:rsid w:val="00DA1FB7"/>
    <w:rsid w:val="00DA2019"/>
    <w:rsid w:val="00DA21A2"/>
    <w:rsid w:val="00DA2916"/>
    <w:rsid w:val="00DA29AB"/>
    <w:rsid w:val="00DA29C4"/>
    <w:rsid w:val="00DA2B21"/>
    <w:rsid w:val="00DA2C6D"/>
    <w:rsid w:val="00DA2C9C"/>
    <w:rsid w:val="00DA2DA4"/>
    <w:rsid w:val="00DA30D0"/>
    <w:rsid w:val="00DA358A"/>
    <w:rsid w:val="00DA390A"/>
    <w:rsid w:val="00DA3A3A"/>
    <w:rsid w:val="00DA3A56"/>
    <w:rsid w:val="00DA4BCA"/>
    <w:rsid w:val="00DA4C38"/>
    <w:rsid w:val="00DA510D"/>
    <w:rsid w:val="00DA5519"/>
    <w:rsid w:val="00DA59D0"/>
    <w:rsid w:val="00DA59F7"/>
    <w:rsid w:val="00DA5ED3"/>
    <w:rsid w:val="00DA6027"/>
    <w:rsid w:val="00DA6F85"/>
    <w:rsid w:val="00DA7143"/>
    <w:rsid w:val="00DA7203"/>
    <w:rsid w:val="00DA7356"/>
    <w:rsid w:val="00DA75F4"/>
    <w:rsid w:val="00DA7AB8"/>
    <w:rsid w:val="00DB018D"/>
    <w:rsid w:val="00DB0470"/>
    <w:rsid w:val="00DB05BE"/>
    <w:rsid w:val="00DB0BD4"/>
    <w:rsid w:val="00DB0C43"/>
    <w:rsid w:val="00DB0D67"/>
    <w:rsid w:val="00DB0D73"/>
    <w:rsid w:val="00DB0E67"/>
    <w:rsid w:val="00DB0ECC"/>
    <w:rsid w:val="00DB1110"/>
    <w:rsid w:val="00DB12DF"/>
    <w:rsid w:val="00DB1586"/>
    <w:rsid w:val="00DB17A1"/>
    <w:rsid w:val="00DB1889"/>
    <w:rsid w:val="00DB1C68"/>
    <w:rsid w:val="00DB1C7D"/>
    <w:rsid w:val="00DB218C"/>
    <w:rsid w:val="00DB22EE"/>
    <w:rsid w:val="00DB2BC7"/>
    <w:rsid w:val="00DB2C3C"/>
    <w:rsid w:val="00DB30E0"/>
    <w:rsid w:val="00DB328F"/>
    <w:rsid w:val="00DB3369"/>
    <w:rsid w:val="00DB3414"/>
    <w:rsid w:val="00DB3495"/>
    <w:rsid w:val="00DB34D5"/>
    <w:rsid w:val="00DB3599"/>
    <w:rsid w:val="00DB374B"/>
    <w:rsid w:val="00DB37BE"/>
    <w:rsid w:val="00DB38B3"/>
    <w:rsid w:val="00DB38E7"/>
    <w:rsid w:val="00DB3B4A"/>
    <w:rsid w:val="00DB3BCF"/>
    <w:rsid w:val="00DB440C"/>
    <w:rsid w:val="00DB4D7C"/>
    <w:rsid w:val="00DB4E17"/>
    <w:rsid w:val="00DB509F"/>
    <w:rsid w:val="00DB51EF"/>
    <w:rsid w:val="00DB534D"/>
    <w:rsid w:val="00DB5381"/>
    <w:rsid w:val="00DB553A"/>
    <w:rsid w:val="00DB5D6C"/>
    <w:rsid w:val="00DB5DEE"/>
    <w:rsid w:val="00DB6363"/>
    <w:rsid w:val="00DB64E4"/>
    <w:rsid w:val="00DB669A"/>
    <w:rsid w:val="00DB6A95"/>
    <w:rsid w:val="00DB70CF"/>
    <w:rsid w:val="00DB7701"/>
    <w:rsid w:val="00DB786D"/>
    <w:rsid w:val="00DB7A50"/>
    <w:rsid w:val="00DB7C33"/>
    <w:rsid w:val="00DC023F"/>
    <w:rsid w:val="00DC0706"/>
    <w:rsid w:val="00DC0BA2"/>
    <w:rsid w:val="00DC0D32"/>
    <w:rsid w:val="00DC0ED9"/>
    <w:rsid w:val="00DC1756"/>
    <w:rsid w:val="00DC19B6"/>
    <w:rsid w:val="00DC1EF0"/>
    <w:rsid w:val="00DC2052"/>
    <w:rsid w:val="00DC29E1"/>
    <w:rsid w:val="00DC2F0B"/>
    <w:rsid w:val="00DC36DE"/>
    <w:rsid w:val="00DC3C22"/>
    <w:rsid w:val="00DC4301"/>
    <w:rsid w:val="00DC4338"/>
    <w:rsid w:val="00DC4DE9"/>
    <w:rsid w:val="00DC5303"/>
    <w:rsid w:val="00DC5471"/>
    <w:rsid w:val="00DC55B0"/>
    <w:rsid w:val="00DC5672"/>
    <w:rsid w:val="00DC5AA4"/>
    <w:rsid w:val="00DC5C39"/>
    <w:rsid w:val="00DC6001"/>
    <w:rsid w:val="00DC6186"/>
    <w:rsid w:val="00DC6383"/>
    <w:rsid w:val="00DC67E3"/>
    <w:rsid w:val="00DC691D"/>
    <w:rsid w:val="00DC6948"/>
    <w:rsid w:val="00DC6AF8"/>
    <w:rsid w:val="00DC6B17"/>
    <w:rsid w:val="00DC6B7C"/>
    <w:rsid w:val="00DC6EA7"/>
    <w:rsid w:val="00DC70DC"/>
    <w:rsid w:val="00DC7461"/>
    <w:rsid w:val="00DC7B9A"/>
    <w:rsid w:val="00DC7C9E"/>
    <w:rsid w:val="00DD0146"/>
    <w:rsid w:val="00DD015A"/>
    <w:rsid w:val="00DD02EB"/>
    <w:rsid w:val="00DD0735"/>
    <w:rsid w:val="00DD07DF"/>
    <w:rsid w:val="00DD0B41"/>
    <w:rsid w:val="00DD0B86"/>
    <w:rsid w:val="00DD0C14"/>
    <w:rsid w:val="00DD0C1D"/>
    <w:rsid w:val="00DD0C68"/>
    <w:rsid w:val="00DD0DE7"/>
    <w:rsid w:val="00DD1334"/>
    <w:rsid w:val="00DD198C"/>
    <w:rsid w:val="00DD1B6E"/>
    <w:rsid w:val="00DD1EAE"/>
    <w:rsid w:val="00DD1FEA"/>
    <w:rsid w:val="00DD24D1"/>
    <w:rsid w:val="00DD272A"/>
    <w:rsid w:val="00DD2A43"/>
    <w:rsid w:val="00DD2BDE"/>
    <w:rsid w:val="00DD2C1F"/>
    <w:rsid w:val="00DD2D0B"/>
    <w:rsid w:val="00DD3040"/>
    <w:rsid w:val="00DD36F9"/>
    <w:rsid w:val="00DD377E"/>
    <w:rsid w:val="00DD3985"/>
    <w:rsid w:val="00DD39A4"/>
    <w:rsid w:val="00DD3A96"/>
    <w:rsid w:val="00DD3AC5"/>
    <w:rsid w:val="00DD3AEB"/>
    <w:rsid w:val="00DD3F61"/>
    <w:rsid w:val="00DD484E"/>
    <w:rsid w:val="00DD573E"/>
    <w:rsid w:val="00DD5955"/>
    <w:rsid w:val="00DD5A7F"/>
    <w:rsid w:val="00DD5AF7"/>
    <w:rsid w:val="00DD5C79"/>
    <w:rsid w:val="00DD5C7E"/>
    <w:rsid w:val="00DD5D36"/>
    <w:rsid w:val="00DD60DD"/>
    <w:rsid w:val="00DD6200"/>
    <w:rsid w:val="00DD66C4"/>
    <w:rsid w:val="00DD69DD"/>
    <w:rsid w:val="00DD6C7D"/>
    <w:rsid w:val="00DD6C85"/>
    <w:rsid w:val="00DD6E78"/>
    <w:rsid w:val="00DD6FA5"/>
    <w:rsid w:val="00DD721D"/>
    <w:rsid w:val="00DD72FE"/>
    <w:rsid w:val="00DD7643"/>
    <w:rsid w:val="00DD7758"/>
    <w:rsid w:val="00DD79EF"/>
    <w:rsid w:val="00DE00D4"/>
    <w:rsid w:val="00DE00DB"/>
    <w:rsid w:val="00DE01C4"/>
    <w:rsid w:val="00DE04D9"/>
    <w:rsid w:val="00DE05CA"/>
    <w:rsid w:val="00DE0721"/>
    <w:rsid w:val="00DE0822"/>
    <w:rsid w:val="00DE0864"/>
    <w:rsid w:val="00DE09C9"/>
    <w:rsid w:val="00DE0B9F"/>
    <w:rsid w:val="00DE0EBB"/>
    <w:rsid w:val="00DE1000"/>
    <w:rsid w:val="00DE1313"/>
    <w:rsid w:val="00DE1C7E"/>
    <w:rsid w:val="00DE1CBD"/>
    <w:rsid w:val="00DE1EA4"/>
    <w:rsid w:val="00DE21FA"/>
    <w:rsid w:val="00DE22B2"/>
    <w:rsid w:val="00DE2691"/>
    <w:rsid w:val="00DE2865"/>
    <w:rsid w:val="00DE2A36"/>
    <w:rsid w:val="00DE2EDC"/>
    <w:rsid w:val="00DE3207"/>
    <w:rsid w:val="00DE34A3"/>
    <w:rsid w:val="00DE35A3"/>
    <w:rsid w:val="00DE3869"/>
    <w:rsid w:val="00DE3900"/>
    <w:rsid w:val="00DE39A5"/>
    <w:rsid w:val="00DE3B22"/>
    <w:rsid w:val="00DE3CB7"/>
    <w:rsid w:val="00DE3E8E"/>
    <w:rsid w:val="00DE3FE0"/>
    <w:rsid w:val="00DE4393"/>
    <w:rsid w:val="00DE43E8"/>
    <w:rsid w:val="00DE473A"/>
    <w:rsid w:val="00DE4993"/>
    <w:rsid w:val="00DE49C5"/>
    <w:rsid w:val="00DE4ADC"/>
    <w:rsid w:val="00DE4BA7"/>
    <w:rsid w:val="00DE552C"/>
    <w:rsid w:val="00DE5579"/>
    <w:rsid w:val="00DE5653"/>
    <w:rsid w:val="00DE585E"/>
    <w:rsid w:val="00DE5863"/>
    <w:rsid w:val="00DE58BB"/>
    <w:rsid w:val="00DE5EF4"/>
    <w:rsid w:val="00DE5FB4"/>
    <w:rsid w:val="00DE60F7"/>
    <w:rsid w:val="00DE63B3"/>
    <w:rsid w:val="00DE643B"/>
    <w:rsid w:val="00DE6795"/>
    <w:rsid w:val="00DE6DA7"/>
    <w:rsid w:val="00DE70DC"/>
    <w:rsid w:val="00DE70FD"/>
    <w:rsid w:val="00DE7421"/>
    <w:rsid w:val="00DE7E18"/>
    <w:rsid w:val="00DF0329"/>
    <w:rsid w:val="00DF0379"/>
    <w:rsid w:val="00DF06E2"/>
    <w:rsid w:val="00DF1212"/>
    <w:rsid w:val="00DF124F"/>
    <w:rsid w:val="00DF136E"/>
    <w:rsid w:val="00DF16C1"/>
    <w:rsid w:val="00DF1762"/>
    <w:rsid w:val="00DF2624"/>
    <w:rsid w:val="00DF26DD"/>
    <w:rsid w:val="00DF27C5"/>
    <w:rsid w:val="00DF30D6"/>
    <w:rsid w:val="00DF3316"/>
    <w:rsid w:val="00DF3668"/>
    <w:rsid w:val="00DF3707"/>
    <w:rsid w:val="00DF3A22"/>
    <w:rsid w:val="00DF3CA3"/>
    <w:rsid w:val="00DF4036"/>
    <w:rsid w:val="00DF4335"/>
    <w:rsid w:val="00DF44EB"/>
    <w:rsid w:val="00DF4926"/>
    <w:rsid w:val="00DF4976"/>
    <w:rsid w:val="00DF4985"/>
    <w:rsid w:val="00DF4ABE"/>
    <w:rsid w:val="00DF4E91"/>
    <w:rsid w:val="00DF4F70"/>
    <w:rsid w:val="00DF5417"/>
    <w:rsid w:val="00DF56A7"/>
    <w:rsid w:val="00DF5854"/>
    <w:rsid w:val="00DF5CA9"/>
    <w:rsid w:val="00DF5F5E"/>
    <w:rsid w:val="00DF61B7"/>
    <w:rsid w:val="00DF62C8"/>
    <w:rsid w:val="00DF6362"/>
    <w:rsid w:val="00DF667D"/>
    <w:rsid w:val="00DF67D3"/>
    <w:rsid w:val="00DF6887"/>
    <w:rsid w:val="00DF6C36"/>
    <w:rsid w:val="00DF751E"/>
    <w:rsid w:val="00E0026F"/>
    <w:rsid w:val="00E004B0"/>
    <w:rsid w:val="00E004C5"/>
    <w:rsid w:val="00E00F51"/>
    <w:rsid w:val="00E00F9A"/>
    <w:rsid w:val="00E013D3"/>
    <w:rsid w:val="00E01930"/>
    <w:rsid w:val="00E01CF0"/>
    <w:rsid w:val="00E01DF1"/>
    <w:rsid w:val="00E02020"/>
    <w:rsid w:val="00E020C0"/>
    <w:rsid w:val="00E02347"/>
    <w:rsid w:val="00E0234D"/>
    <w:rsid w:val="00E029ED"/>
    <w:rsid w:val="00E02D7B"/>
    <w:rsid w:val="00E02F3C"/>
    <w:rsid w:val="00E03027"/>
    <w:rsid w:val="00E0309C"/>
    <w:rsid w:val="00E030F7"/>
    <w:rsid w:val="00E03231"/>
    <w:rsid w:val="00E032EA"/>
    <w:rsid w:val="00E03ACF"/>
    <w:rsid w:val="00E03BF2"/>
    <w:rsid w:val="00E03C53"/>
    <w:rsid w:val="00E0429A"/>
    <w:rsid w:val="00E04465"/>
    <w:rsid w:val="00E0477E"/>
    <w:rsid w:val="00E048D8"/>
    <w:rsid w:val="00E04908"/>
    <w:rsid w:val="00E04FD4"/>
    <w:rsid w:val="00E0504D"/>
    <w:rsid w:val="00E05173"/>
    <w:rsid w:val="00E05274"/>
    <w:rsid w:val="00E0536E"/>
    <w:rsid w:val="00E05371"/>
    <w:rsid w:val="00E059AD"/>
    <w:rsid w:val="00E06077"/>
    <w:rsid w:val="00E06A0C"/>
    <w:rsid w:val="00E06D99"/>
    <w:rsid w:val="00E0759E"/>
    <w:rsid w:val="00E075FA"/>
    <w:rsid w:val="00E07C9F"/>
    <w:rsid w:val="00E07FE0"/>
    <w:rsid w:val="00E109D1"/>
    <w:rsid w:val="00E10CF1"/>
    <w:rsid w:val="00E10F7E"/>
    <w:rsid w:val="00E10FE9"/>
    <w:rsid w:val="00E11289"/>
    <w:rsid w:val="00E1146A"/>
    <w:rsid w:val="00E116EF"/>
    <w:rsid w:val="00E117B9"/>
    <w:rsid w:val="00E11BF9"/>
    <w:rsid w:val="00E11D36"/>
    <w:rsid w:val="00E11DAE"/>
    <w:rsid w:val="00E120A1"/>
    <w:rsid w:val="00E1234B"/>
    <w:rsid w:val="00E123AF"/>
    <w:rsid w:val="00E12500"/>
    <w:rsid w:val="00E1361D"/>
    <w:rsid w:val="00E136AF"/>
    <w:rsid w:val="00E13809"/>
    <w:rsid w:val="00E14056"/>
    <w:rsid w:val="00E140A2"/>
    <w:rsid w:val="00E140BB"/>
    <w:rsid w:val="00E1412F"/>
    <w:rsid w:val="00E14205"/>
    <w:rsid w:val="00E1488D"/>
    <w:rsid w:val="00E14F1B"/>
    <w:rsid w:val="00E15479"/>
    <w:rsid w:val="00E154A0"/>
    <w:rsid w:val="00E15574"/>
    <w:rsid w:val="00E15604"/>
    <w:rsid w:val="00E15848"/>
    <w:rsid w:val="00E15C73"/>
    <w:rsid w:val="00E15F96"/>
    <w:rsid w:val="00E16479"/>
    <w:rsid w:val="00E16732"/>
    <w:rsid w:val="00E1674C"/>
    <w:rsid w:val="00E168E6"/>
    <w:rsid w:val="00E16EF6"/>
    <w:rsid w:val="00E16F3B"/>
    <w:rsid w:val="00E16F47"/>
    <w:rsid w:val="00E1718F"/>
    <w:rsid w:val="00E17F2E"/>
    <w:rsid w:val="00E20C2B"/>
    <w:rsid w:val="00E20C40"/>
    <w:rsid w:val="00E20F38"/>
    <w:rsid w:val="00E21ABC"/>
    <w:rsid w:val="00E21FF4"/>
    <w:rsid w:val="00E2222D"/>
    <w:rsid w:val="00E223D9"/>
    <w:rsid w:val="00E224FA"/>
    <w:rsid w:val="00E22976"/>
    <w:rsid w:val="00E22978"/>
    <w:rsid w:val="00E229CE"/>
    <w:rsid w:val="00E22EAC"/>
    <w:rsid w:val="00E231AE"/>
    <w:rsid w:val="00E233F1"/>
    <w:rsid w:val="00E235A7"/>
    <w:rsid w:val="00E235EE"/>
    <w:rsid w:val="00E23939"/>
    <w:rsid w:val="00E23F43"/>
    <w:rsid w:val="00E23F52"/>
    <w:rsid w:val="00E2402E"/>
    <w:rsid w:val="00E24685"/>
    <w:rsid w:val="00E2483C"/>
    <w:rsid w:val="00E2483D"/>
    <w:rsid w:val="00E24A08"/>
    <w:rsid w:val="00E24C2B"/>
    <w:rsid w:val="00E25453"/>
    <w:rsid w:val="00E25A7D"/>
    <w:rsid w:val="00E25AD5"/>
    <w:rsid w:val="00E25DF5"/>
    <w:rsid w:val="00E25E6E"/>
    <w:rsid w:val="00E25FDE"/>
    <w:rsid w:val="00E26127"/>
    <w:rsid w:val="00E26805"/>
    <w:rsid w:val="00E26962"/>
    <w:rsid w:val="00E26A8B"/>
    <w:rsid w:val="00E26AC1"/>
    <w:rsid w:val="00E26BC5"/>
    <w:rsid w:val="00E26D1D"/>
    <w:rsid w:val="00E26F20"/>
    <w:rsid w:val="00E272B9"/>
    <w:rsid w:val="00E2732F"/>
    <w:rsid w:val="00E274BA"/>
    <w:rsid w:val="00E279D8"/>
    <w:rsid w:val="00E27A1C"/>
    <w:rsid w:val="00E27A24"/>
    <w:rsid w:val="00E27E58"/>
    <w:rsid w:val="00E27F44"/>
    <w:rsid w:val="00E27FDF"/>
    <w:rsid w:val="00E301B8"/>
    <w:rsid w:val="00E30468"/>
    <w:rsid w:val="00E3047F"/>
    <w:rsid w:val="00E3051F"/>
    <w:rsid w:val="00E309B2"/>
    <w:rsid w:val="00E30BB5"/>
    <w:rsid w:val="00E30F29"/>
    <w:rsid w:val="00E3113F"/>
    <w:rsid w:val="00E31642"/>
    <w:rsid w:val="00E3180C"/>
    <w:rsid w:val="00E319E0"/>
    <w:rsid w:val="00E3278B"/>
    <w:rsid w:val="00E32BC0"/>
    <w:rsid w:val="00E32CBC"/>
    <w:rsid w:val="00E32D5C"/>
    <w:rsid w:val="00E337DE"/>
    <w:rsid w:val="00E33B2D"/>
    <w:rsid w:val="00E33C41"/>
    <w:rsid w:val="00E33F3A"/>
    <w:rsid w:val="00E3423D"/>
    <w:rsid w:val="00E343D2"/>
    <w:rsid w:val="00E345CB"/>
    <w:rsid w:val="00E346AE"/>
    <w:rsid w:val="00E3471F"/>
    <w:rsid w:val="00E34C17"/>
    <w:rsid w:val="00E34D21"/>
    <w:rsid w:val="00E35009"/>
    <w:rsid w:val="00E350A3"/>
    <w:rsid w:val="00E35D59"/>
    <w:rsid w:val="00E3636B"/>
    <w:rsid w:val="00E36568"/>
    <w:rsid w:val="00E36631"/>
    <w:rsid w:val="00E36837"/>
    <w:rsid w:val="00E36919"/>
    <w:rsid w:val="00E36CAF"/>
    <w:rsid w:val="00E36E27"/>
    <w:rsid w:val="00E37458"/>
    <w:rsid w:val="00E378DD"/>
    <w:rsid w:val="00E37987"/>
    <w:rsid w:val="00E37B9E"/>
    <w:rsid w:val="00E37F7C"/>
    <w:rsid w:val="00E4011C"/>
    <w:rsid w:val="00E402A6"/>
    <w:rsid w:val="00E40845"/>
    <w:rsid w:val="00E4092B"/>
    <w:rsid w:val="00E40B90"/>
    <w:rsid w:val="00E40DD6"/>
    <w:rsid w:val="00E40E86"/>
    <w:rsid w:val="00E40F0E"/>
    <w:rsid w:val="00E40F51"/>
    <w:rsid w:val="00E41001"/>
    <w:rsid w:val="00E41785"/>
    <w:rsid w:val="00E41866"/>
    <w:rsid w:val="00E41C65"/>
    <w:rsid w:val="00E41E3D"/>
    <w:rsid w:val="00E41EAC"/>
    <w:rsid w:val="00E424BB"/>
    <w:rsid w:val="00E4278A"/>
    <w:rsid w:val="00E42950"/>
    <w:rsid w:val="00E429E3"/>
    <w:rsid w:val="00E42B72"/>
    <w:rsid w:val="00E42BB4"/>
    <w:rsid w:val="00E42BE9"/>
    <w:rsid w:val="00E42DCB"/>
    <w:rsid w:val="00E43197"/>
    <w:rsid w:val="00E43225"/>
    <w:rsid w:val="00E4336A"/>
    <w:rsid w:val="00E43E1C"/>
    <w:rsid w:val="00E44478"/>
    <w:rsid w:val="00E444FF"/>
    <w:rsid w:val="00E4502D"/>
    <w:rsid w:val="00E450FA"/>
    <w:rsid w:val="00E4587E"/>
    <w:rsid w:val="00E45EA3"/>
    <w:rsid w:val="00E45EE8"/>
    <w:rsid w:val="00E465BC"/>
    <w:rsid w:val="00E468A3"/>
    <w:rsid w:val="00E470B7"/>
    <w:rsid w:val="00E472B1"/>
    <w:rsid w:val="00E479F2"/>
    <w:rsid w:val="00E47B9C"/>
    <w:rsid w:val="00E47DA4"/>
    <w:rsid w:val="00E47E64"/>
    <w:rsid w:val="00E47FFD"/>
    <w:rsid w:val="00E502C6"/>
    <w:rsid w:val="00E50A29"/>
    <w:rsid w:val="00E50A4B"/>
    <w:rsid w:val="00E50C49"/>
    <w:rsid w:val="00E51EF1"/>
    <w:rsid w:val="00E52588"/>
    <w:rsid w:val="00E529AC"/>
    <w:rsid w:val="00E529F4"/>
    <w:rsid w:val="00E52D83"/>
    <w:rsid w:val="00E52F5F"/>
    <w:rsid w:val="00E52FA8"/>
    <w:rsid w:val="00E53164"/>
    <w:rsid w:val="00E53275"/>
    <w:rsid w:val="00E5331B"/>
    <w:rsid w:val="00E53449"/>
    <w:rsid w:val="00E53D0E"/>
    <w:rsid w:val="00E53ECF"/>
    <w:rsid w:val="00E53F34"/>
    <w:rsid w:val="00E547FB"/>
    <w:rsid w:val="00E549BD"/>
    <w:rsid w:val="00E54A26"/>
    <w:rsid w:val="00E54A8A"/>
    <w:rsid w:val="00E54AE1"/>
    <w:rsid w:val="00E54F23"/>
    <w:rsid w:val="00E5510E"/>
    <w:rsid w:val="00E55A81"/>
    <w:rsid w:val="00E55D6F"/>
    <w:rsid w:val="00E55FB3"/>
    <w:rsid w:val="00E564FA"/>
    <w:rsid w:val="00E56580"/>
    <w:rsid w:val="00E56DBD"/>
    <w:rsid w:val="00E5752A"/>
    <w:rsid w:val="00E57EE1"/>
    <w:rsid w:val="00E57F1D"/>
    <w:rsid w:val="00E57F93"/>
    <w:rsid w:val="00E60AAE"/>
    <w:rsid w:val="00E60BD5"/>
    <w:rsid w:val="00E60BD8"/>
    <w:rsid w:val="00E61252"/>
    <w:rsid w:val="00E615F1"/>
    <w:rsid w:val="00E6162D"/>
    <w:rsid w:val="00E61718"/>
    <w:rsid w:val="00E61A54"/>
    <w:rsid w:val="00E62248"/>
    <w:rsid w:val="00E622B1"/>
    <w:rsid w:val="00E625D1"/>
    <w:rsid w:val="00E62934"/>
    <w:rsid w:val="00E62AEA"/>
    <w:rsid w:val="00E630C0"/>
    <w:rsid w:val="00E637ED"/>
    <w:rsid w:val="00E6386C"/>
    <w:rsid w:val="00E638AE"/>
    <w:rsid w:val="00E63C68"/>
    <w:rsid w:val="00E63C7A"/>
    <w:rsid w:val="00E63E2F"/>
    <w:rsid w:val="00E64A40"/>
    <w:rsid w:val="00E64D1E"/>
    <w:rsid w:val="00E65115"/>
    <w:rsid w:val="00E65312"/>
    <w:rsid w:val="00E65C70"/>
    <w:rsid w:val="00E65D3D"/>
    <w:rsid w:val="00E65D7B"/>
    <w:rsid w:val="00E65E62"/>
    <w:rsid w:val="00E66082"/>
    <w:rsid w:val="00E66694"/>
    <w:rsid w:val="00E66772"/>
    <w:rsid w:val="00E6688C"/>
    <w:rsid w:val="00E66EA1"/>
    <w:rsid w:val="00E6713B"/>
    <w:rsid w:val="00E6728A"/>
    <w:rsid w:val="00E67327"/>
    <w:rsid w:val="00E67352"/>
    <w:rsid w:val="00E67748"/>
    <w:rsid w:val="00E67EC7"/>
    <w:rsid w:val="00E67F14"/>
    <w:rsid w:val="00E67F59"/>
    <w:rsid w:val="00E67F9F"/>
    <w:rsid w:val="00E67FE9"/>
    <w:rsid w:val="00E701D0"/>
    <w:rsid w:val="00E703C5"/>
    <w:rsid w:val="00E70A06"/>
    <w:rsid w:val="00E70E16"/>
    <w:rsid w:val="00E70E60"/>
    <w:rsid w:val="00E711EB"/>
    <w:rsid w:val="00E717B9"/>
    <w:rsid w:val="00E71816"/>
    <w:rsid w:val="00E71DF7"/>
    <w:rsid w:val="00E7200C"/>
    <w:rsid w:val="00E72877"/>
    <w:rsid w:val="00E72A10"/>
    <w:rsid w:val="00E72B87"/>
    <w:rsid w:val="00E72D61"/>
    <w:rsid w:val="00E72E37"/>
    <w:rsid w:val="00E72FC3"/>
    <w:rsid w:val="00E73457"/>
    <w:rsid w:val="00E73608"/>
    <w:rsid w:val="00E73746"/>
    <w:rsid w:val="00E7404E"/>
    <w:rsid w:val="00E74373"/>
    <w:rsid w:val="00E745A9"/>
    <w:rsid w:val="00E7476D"/>
    <w:rsid w:val="00E7479C"/>
    <w:rsid w:val="00E74FDC"/>
    <w:rsid w:val="00E758A9"/>
    <w:rsid w:val="00E75BFB"/>
    <w:rsid w:val="00E75D7F"/>
    <w:rsid w:val="00E75E34"/>
    <w:rsid w:val="00E76760"/>
    <w:rsid w:val="00E76C48"/>
    <w:rsid w:val="00E76E43"/>
    <w:rsid w:val="00E76FB3"/>
    <w:rsid w:val="00E77090"/>
    <w:rsid w:val="00E7764A"/>
    <w:rsid w:val="00E77650"/>
    <w:rsid w:val="00E7775D"/>
    <w:rsid w:val="00E77BDC"/>
    <w:rsid w:val="00E77C6A"/>
    <w:rsid w:val="00E77E08"/>
    <w:rsid w:val="00E807CE"/>
    <w:rsid w:val="00E80D43"/>
    <w:rsid w:val="00E8103C"/>
    <w:rsid w:val="00E811A5"/>
    <w:rsid w:val="00E81437"/>
    <w:rsid w:val="00E81997"/>
    <w:rsid w:val="00E819C7"/>
    <w:rsid w:val="00E81C09"/>
    <w:rsid w:val="00E81CD4"/>
    <w:rsid w:val="00E8262A"/>
    <w:rsid w:val="00E82EA3"/>
    <w:rsid w:val="00E833A6"/>
    <w:rsid w:val="00E835A9"/>
    <w:rsid w:val="00E835CC"/>
    <w:rsid w:val="00E836E7"/>
    <w:rsid w:val="00E837C2"/>
    <w:rsid w:val="00E83B4D"/>
    <w:rsid w:val="00E83CEA"/>
    <w:rsid w:val="00E83D1F"/>
    <w:rsid w:val="00E8483F"/>
    <w:rsid w:val="00E84A82"/>
    <w:rsid w:val="00E84AC4"/>
    <w:rsid w:val="00E84CD1"/>
    <w:rsid w:val="00E84D13"/>
    <w:rsid w:val="00E853F1"/>
    <w:rsid w:val="00E85448"/>
    <w:rsid w:val="00E855DC"/>
    <w:rsid w:val="00E8597C"/>
    <w:rsid w:val="00E85E58"/>
    <w:rsid w:val="00E85EBB"/>
    <w:rsid w:val="00E86022"/>
    <w:rsid w:val="00E86A72"/>
    <w:rsid w:val="00E870BB"/>
    <w:rsid w:val="00E8753A"/>
    <w:rsid w:val="00E87807"/>
    <w:rsid w:val="00E87955"/>
    <w:rsid w:val="00E87F0E"/>
    <w:rsid w:val="00E9026B"/>
    <w:rsid w:val="00E902FA"/>
    <w:rsid w:val="00E903F6"/>
    <w:rsid w:val="00E9045E"/>
    <w:rsid w:val="00E90842"/>
    <w:rsid w:val="00E90A3B"/>
    <w:rsid w:val="00E90C13"/>
    <w:rsid w:val="00E90C49"/>
    <w:rsid w:val="00E91026"/>
    <w:rsid w:val="00E91126"/>
    <w:rsid w:val="00E91432"/>
    <w:rsid w:val="00E914A8"/>
    <w:rsid w:val="00E916A9"/>
    <w:rsid w:val="00E9179A"/>
    <w:rsid w:val="00E91BDA"/>
    <w:rsid w:val="00E91CD4"/>
    <w:rsid w:val="00E91F56"/>
    <w:rsid w:val="00E9228F"/>
    <w:rsid w:val="00E92412"/>
    <w:rsid w:val="00E9262F"/>
    <w:rsid w:val="00E92996"/>
    <w:rsid w:val="00E92A1D"/>
    <w:rsid w:val="00E92E52"/>
    <w:rsid w:val="00E9350A"/>
    <w:rsid w:val="00E93F16"/>
    <w:rsid w:val="00E94015"/>
    <w:rsid w:val="00E941A9"/>
    <w:rsid w:val="00E9436B"/>
    <w:rsid w:val="00E9464F"/>
    <w:rsid w:val="00E94BC0"/>
    <w:rsid w:val="00E950B8"/>
    <w:rsid w:val="00E952D8"/>
    <w:rsid w:val="00E95317"/>
    <w:rsid w:val="00E95A26"/>
    <w:rsid w:val="00E95AB1"/>
    <w:rsid w:val="00E95DDE"/>
    <w:rsid w:val="00E96141"/>
    <w:rsid w:val="00E96257"/>
    <w:rsid w:val="00E964A2"/>
    <w:rsid w:val="00E964DD"/>
    <w:rsid w:val="00E9669E"/>
    <w:rsid w:val="00E967F0"/>
    <w:rsid w:val="00E968FB"/>
    <w:rsid w:val="00E96B76"/>
    <w:rsid w:val="00E96CC9"/>
    <w:rsid w:val="00E96F91"/>
    <w:rsid w:val="00E97027"/>
    <w:rsid w:val="00E970FA"/>
    <w:rsid w:val="00E971F1"/>
    <w:rsid w:val="00E973DB"/>
    <w:rsid w:val="00E976B5"/>
    <w:rsid w:val="00E9771C"/>
    <w:rsid w:val="00E97831"/>
    <w:rsid w:val="00E97A0A"/>
    <w:rsid w:val="00E97BBD"/>
    <w:rsid w:val="00E97D27"/>
    <w:rsid w:val="00E97F2E"/>
    <w:rsid w:val="00EA00B5"/>
    <w:rsid w:val="00EA026A"/>
    <w:rsid w:val="00EA09AD"/>
    <w:rsid w:val="00EA0A02"/>
    <w:rsid w:val="00EA0A58"/>
    <w:rsid w:val="00EA11BA"/>
    <w:rsid w:val="00EA13CB"/>
    <w:rsid w:val="00EA1560"/>
    <w:rsid w:val="00EA1582"/>
    <w:rsid w:val="00EA1994"/>
    <w:rsid w:val="00EA1B61"/>
    <w:rsid w:val="00EA1ED2"/>
    <w:rsid w:val="00EA2414"/>
    <w:rsid w:val="00EA2572"/>
    <w:rsid w:val="00EA2864"/>
    <w:rsid w:val="00EA2A1D"/>
    <w:rsid w:val="00EA2AEC"/>
    <w:rsid w:val="00EA3555"/>
    <w:rsid w:val="00EA358B"/>
    <w:rsid w:val="00EA35B4"/>
    <w:rsid w:val="00EA37C3"/>
    <w:rsid w:val="00EA3B69"/>
    <w:rsid w:val="00EA3EDF"/>
    <w:rsid w:val="00EA411C"/>
    <w:rsid w:val="00EA41F9"/>
    <w:rsid w:val="00EA433D"/>
    <w:rsid w:val="00EA4625"/>
    <w:rsid w:val="00EA4963"/>
    <w:rsid w:val="00EA496D"/>
    <w:rsid w:val="00EA4A5F"/>
    <w:rsid w:val="00EA4F6C"/>
    <w:rsid w:val="00EA500E"/>
    <w:rsid w:val="00EA5074"/>
    <w:rsid w:val="00EA50A3"/>
    <w:rsid w:val="00EA50BD"/>
    <w:rsid w:val="00EA5152"/>
    <w:rsid w:val="00EA53A7"/>
    <w:rsid w:val="00EA5489"/>
    <w:rsid w:val="00EA5518"/>
    <w:rsid w:val="00EA552B"/>
    <w:rsid w:val="00EA5A1C"/>
    <w:rsid w:val="00EA5AAC"/>
    <w:rsid w:val="00EA5ABD"/>
    <w:rsid w:val="00EA6538"/>
    <w:rsid w:val="00EA6547"/>
    <w:rsid w:val="00EA6D4A"/>
    <w:rsid w:val="00EA7566"/>
    <w:rsid w:val="00EA760F"/>
    <w:rsid w:val="00EA7716"/>
    <w:rsid w:val="00EA782A"/>
    <w:rsid w:val="00EA79E1"/>
    <w:rsid w:val="00EA7A8A"/>
    <w:rsid w:val="00EA7B87"/>
    <w:rsid w:val="00EA7C1F"/>
    <w:rsid w:val="00EA7CE2"/>
    <w:rsid w:val="00EA7D81"/>
    <w:rsid w:val="00EA7F1E"/>
    <w:rsid w:val="00EA7FA9"/>
    <w:rsid w:val="00EB0070"/>
    <w:rsid w:val="00EB0245"/>
    <w:rsid w:val="00EB024F"/>
    <w:rsid w:val="00EB0281"/>
    <w:rsid w:val="00EB03E0"/>
    <w:rsid w:val="00EB0821"/>
    <w:rsid w:val="00EB086E"/>
    <w:rsid w:val="00EB08AD"/>
    <w:rsid w:val="00EB08D6"/>
    <w:rsid w:val="00EB0C89"/>
    <w:rsid w:val="00EB1642"/>
    <w:rsid w:val="00EB16A0"/>
    <w:rsid w:val="00EB1B1A"/>
    <w:rsid w:val="00EB1B22"/>
    <w:rsid w:val="00EB1B5F"/>
    <w:rsid w:val="00EB1BE7"/>
    <w:rsid w:val="00EB1C64"/>
    <w:rsid w:val="00EB1E7C"/>
    <w:rsid w:val="00EB2229"/>
    <w:rsid w:val="00EB258F"/>
    <w:rsid w:val="00EB2623"/>
    <w:rsid w:val="00EB3372"/>
    <w:rsid w:val="00EB37A7"/>
    <w:rsid w:val="00EB3B38"/>
    <w:rsid w:val="00EB3E23"/>
    <w:rsid w:val="00EB3F40"/>
    <w:rsid w:val="00EB3FD7"/>
    <w:rsid w:val="00EB4087"/>
    <w:rsid w:val="00EB420D"/>
    <w:rsid w:val="00EB42D2"/>
    <w:rsid w:val="00EB4494"/>
    <w:rsid w:val="00EB47FD"/>
    <w:rsid w:val="00EB4899"/>
    <w:rsid w:val="00EB4BFF"/>
    <w:rsid w:val="00EB4EC9"/>
    <w:rsid w:val="00EB4FB8"/>
    <w:rsid w:val="00EB50F9"/>
    <w:rsid w:val="00EB513F"/>
    <w:rsid w:val="00EB5334"/>
    <w:rsid w:val="00EB5355"/>
    <w:rsid w:val="00EB553D"/>
    <w:rsid w:val="00EB5576"/>
    <w:rsid w:val="00EB559D"/>
    <w:rsid w:val="00EB5606"/>
    <w:rsid w:val="00EB568C"/>
    <w:rsid w:val="00EB59FF"/>
    <w:rsid w:val="00EB622C"/>
    <w:rsid w:val="00EB64D8"/>
    <w:rsid w:val="00EB6B88"/>
    <w:rsid w:val="00EB6D6B"/>
    <w:rsid w:val="00EB6DFE"/>
    <w:rsid w:val="00EB6F5D"/>
    <w:rsid w:val="00EB7134"/>
    <w:rsid w:val="00EB768F"/>
    <w:rsid w:val="00EB76A0"/>
    <w:rsid w:val="00EB7809"/>
    <w:rsid w:val="00EB7937"/>
    <w:rsid w:val="00EB7969"/>
    <w:rsid w:val="00EB79FF"/>
    <w:rsid w:val="00EB7DE2"/>
    <w:rsid w:val="00EB7E59"/>
    <w:rsid w:val="00EB7FF2"/>
    <w:rsid w:val="00EC00DB"/>
    <w:rsid w:val="00EC0560"/>
    <w:rsid w:val="00EC0622"/>
    <w:rsid w:val="00EC0BAA"/>
    <w:rsid w:val="00EC0E6A"/>
    <w:rsid w:val="00EC0E7D"/>
    <w:rsid w:val="00EC100F"/>
    <w:rsid w:val="00EC1085"/>
    <w:rsid w:val="00EC126E"/>
    <w:rsid w:val="00EC136A"/>
    <w:rsid w:val="00EC16CA"/>
    <w:rsid w:val="00EC1DA0"/>
    <w:rsid w:val="00EC1FF1"/>
    <w:rsid w:val="00EC2079"/>
    <w:rsid w:val="00EC213F"/>
    <w:rsid w:val="00EC22F8"/>
    <w:rsid w:val="00EC23D6"/>
    <w:rsid w:val="00EC24B1"/>
    <w:rsid w:val="00EC2719"/>
    <w:rsid w:val="00EC274D"/>
    <w:rsid w:val="00EC299B"/>
    <w:rsid w:val="00EC2A35"/>
    <w:rsid w:val="00EC2A48"/>
    <w:rsid w:val="00EC2C37"/>
    <w:rsid w:val="00EC2F7E"/>
    <w:rsid w:val="00EC3306"/>
    <w:rsid w:val="00EC3B0B"/>
    <w:rsid w:val="00EC3D0E"/>
    <w:rsid w:val="00EC402B"/>
    <w:rsid w:val="00EC4087"/>
    <w:rsid w:val="00EC41F0"/>
    <w:rsid w:val="00EC4241"/>
    <w:rsid w:val="00EC441A"/>
    <w:rsid w:val="00EC470E"/>
    <w:rsid w:val="00EC4A0E"/>
    <w:rsid w:val="00EC53CC"/>
    <w:rsid w:val="00EC54C9"/>
    <w:rsid w:val="00EC5779"/>
    <w:rsid w:val="00EC5E7C"/>
    <w:rsid w:val="00EC5EC0"/>
    <w:rsid w:val="00EC6339"/>
    <w:rsid w:val="00EC6B0D"/>
    <w:rsid w:val="00EC6B29"/>
    <w:rsid w:val="00EC704A"/>
    <w:rsid w:val="00EC77AE"/>
    <w:rsid w:val="00EC794D"/>
    <w:rsid w:val="00EC7CD6"/>
    <w:rsid w:val="00EC7FE1"/>
    <w:rsid w:val="00ED05AE"/>
    <w:rsid w:val="00ED0AA0"/>
    <w:rsid w:val="00ED109A"/>
    <w:rsid w:val="00ED15E1"/>
    <w:rsid w:val="00ED1657"/>
    <w:rsid w:val="00ED1934"/>
    <w:rsid w:val="00ED1A30"/>
    <w:rsid w:val="00ED1CB5"/>
    <w:rsid w:val="00ED1DBD"/>
    <w:rsid w:val="00ED1F2C"/>
    <w:rsid w:val="00ED20EE"/>
    <w:rsid w:val="00ED2211"/>
    <w:rsid w:val="00ED226D"/>
    <w:rsid w:val="00ED25B5"/>
    <w:rsid w:val="00ED26D1"/>
    <w:rsid w:val="00ED29FF"/>
    <w:rsid w:val="00ED2CD2"/>
    <w:rsid w:val="00ED2EC3"/>
    <w:rsid w:val="00ED33C3"/>
    <w:rsid w:val="00ED351C"/>
    <w:rsid w:val="00ED378F"/>
    <w:rsid w:val="00ED4220"/>
    <w:rsid w:val="00ED4827"/>
    <w:rsid w:val="00ED4941"/>
    <w:rsid w:val="00ED4BEE"/>
    <w:rsid w:val="00ED4D2D"/>
    <w:rsid w:val="00ED50EE"/>
    <w:rsid w:val="00ED52BC"/>
    <w:rsid w:val="00ED550C"/>
    <w:rsid w:val="00ED583B"/>
    <w:rsid w:val="00ED5B0E"/>
    <w:rsid w:val="00ED5BFC"/>
    <w:rsid w:val="00ED5CA2"/>
    <w:rsid w:val="00ED5FF7"/>
    <w:rsid w:val="00ED6173"/>
    <w:rsid w:val="00ED61B5"/>
    <w:rsid w:val="00ED64D0"/>
    <w:rsid w:val="00ED669A"/>
    <w:rsid w:val="00ED689D"/>
    <w:rsid w:val="00ED694E"/>
    <w:rsid w:val="00ED6A37"/>
    <w:rsid w:val="00ED6DB9"/>
    <w:rsid w:val="00ED6DDF"/>
    <w:rsid w:val="00ED6E7B"/>
    <w:rsid w:val="00ED6F34"/>
    <w:rsid w:val="00ED6FE3"/>
    <w:rsid w:val="00ED7181"/>
    <w:rsid w:val="00ED7263"/>
    <w:rsid w:val="00ED78A6"/>
    <w:rsid w:val="00EE00E3"/>
    <w:rsid w:val="00EE0CFB"/>
    <w:rsid w:val="00EE0F13"/>
    <w:rsid w:val="00EE0F6F"/>
    <w:rsid w:val="00EE1092"/>
    <w:rsid w:val="00EE11BF"/>
    <w:rsid w:val="00EE1259"/>
    <w:rsid w:val="00EE1355"/>
    <w:rsid w:val="00EE1824"/>
    <w:rsid w:val="00EE1976"/>
    <w:rsid w:val="00EE1D15"/>
    <w:rsid w:val="00EE20FA"/>
    <w:rsid w:val="00EE2366"/>
    <w:rsid w:val="00EE264E"/>
    <w:rsid w:val="00EE2718"/>
    <w:rsid w:val="00EE2C8D"/>
    <w:rsid w:val="00EE2CD6"/>
    <w:rsid w:val="00EE2FA9"/>
    <w:rsid w:val="00EE2FE4"/>
    <w:rsid w:val="00EE3027"/>
    <w:rsid w:val="00EE3924"/>
    <w:rsid w:val="00EE3929"/>
    <w:rsid w:val="00EE3A4E"/>
    <w:rsid w:val="00EE3CF0"/>
    <w:rsid w:val="00EE4371"/>
    <w:rsid w:val="00EE46D6"/>
    <w:rsid w:val="00EE4876"/>
    <w:rsid w:val="00EE49A4"/>
    <w:rsid w:val="00EE4ECD"/>
    <w:rsid w:val="00EE5390"/>
    <w:rsid w:val="00EE5434"/>
    <w:rsid w:val="00EE55D5"/>
    <w:rsid w:val="00EE588E"/>
    <w:rsid w:val="00EE5DC2"/>
    <w:rsid w:val="00EE5FD0"/>
    <w:rsid w:val="00EE65E3"/>
    <w:rsid w:val="00EE672B"/>
    <w:rsid w:val="00EE685D"/>
    <w:rsid w:val="00EE6940"/>
    <w:rsid w:val="00EE6960"/>
    <w:rsid w:val="00EE6BA0"/>
    <w:rsid w:val="00EE6BA4"/>
    <w:rsid w:val="00EE6BC4"/>
    <w:rsid w:val="00EE6D56"/>
    <w:rsid w:val="00EE6EAF"/>
    <w:rsid w:val="00EE755F"/>
    <w:rsid w:val="00EE7616"/>
    <w:rsid w:val="00EE764D"/>
    <w:rsid w:val="00EE7822"/>
    <w:rsid w:val="00EE796D"/>
    <w:rsid w:val="00EF00FF"/>
    <w:rsid w:val="00EF022F"/>
    <w:rsid w:val="00EF0395"/>
    <w:rsid w:val="00EF0938"/>
    <w:rsid w:val="00EF09FF"/>
    <w:rsid w:val="00EF0B3E"/>
    <w:rsid w:val="00EF0CE9"/>
    <w:rsid w:val="00EF0EE1"/>
    <w:rsid w:val="00EF11C7"/>
    <w:rsid w:val="00EF1755"/>
    <w:rsid w:val="00EF2172"/>
    <w:rsid w:val="00EF2365"/>
    <w:rsid w:val="00EF3083"/>
    <w:rsid w:val="00EF37B0"/>
    <w:rsid w:val="00EF3C86"/>
    <w:rsid w:val="00EF3D39"/>
    <w:rsid w:val="00EF3F2E"/>
    <w:rsid w:val="00EF42A0"/>
    <w:rsid w:val="00EF49A3"/>
    <w:rsid w:val="00EF49A6"/>
    <w:rsid w:val="00EF4A4F"/>
    <w:rsid w:val="00EF4C2E"/>
    <w:rsid w:val="00EF4D05"/>
    <w:rsid w:val="00EF4FAF"/>
    <w:rsid w:val="00EF515E"/>
    <w:rsid w:val="00EF51D2"/>
    <w:rsid w:val="00EF532E"/>
    <w:rsid w:val="00EF5C6A"/>
    <w:rsid w:val="00EF5E30"/>
    <w:rsid w:val="00EF5F2D"/>
    <w:rsid w:val="00EF6165"/>
    <w:rsid w:val="00EF6897"/>
    <w:rsid w:val="00EF6CE1"/>
    <w:rsid w:val="00EF6F37"/>
    <w:rsid w:val="00EF73B7"/>
    <w:rsid w:val="00EF744C"/>
    <w:rsid w:val="00EF76C8"/>
    <w:rsid w:val="00EF76D9"/>
    <w:rsid w:val="00EF7737"/>
    <w:rsid w:val="00EF77A6"/>
    <w:rsid w:val="00EF7946"/>
    <w:rsid w:val="00EF79B8"/>
    <w:rsid w:val="00EF7C81"/>
    <w:rsid w:val="00EF7CA1"/>
    <w:rsid w:val="00EF7DDD"/>
    <w:rsid w:val="00EF7F44"/>
    <w:rsid w:val="00F00044"/>
    <w:rsid w:val="00F00070"/>
    <w:rsid w:val="00F00317"/>
    <w:rsid w:val="00F0048E"/>
    <w:rsid w:val="00F005FF"/>
    <w:rsid w:val="00F00715"/>
    <w:rsid w:val="00F007C1"/>
    <w:rsid w:val="00F008C8"/>
    <w:rsid w:val="00F0092B"/>
    <w:rsid w:val="00F00A1A"/>
    <w:rsid w:val="00F00A69"/>
    <w:rsid w:val="00F00F86"/>
    <w:rsid w:val="00F01045"/>
    <w:rsid w:val="00F013DF"/>
    <w:rsid w:val="00F014C5"/>
    <w:rsid w:val="00F01733"/>
    <w:rsid w:val="00F01BEA"/>
    <w:rsid w:val="00F01D25"/>
    <w:rsid w:val="00F02095"/>
    <w:rsid w:val="00F023D4"/>
    <w:rsid w:val="00F02550"/>
    <w:rsid w:val="00F027C7"/>
    <w:rsid w:val="00F03063"/>
    <w:rsid w:val="00F03F12"/>
    <w:rsid w:val="00F040F4"/>
    <w:rsid w:val="00F0423B"/>
    <w:rsid w:val="00F04B62"/>
    <w:rsid w:val="00F04B7D"/>
    <w:rsid w:val="00F04D9C"/>
    <w:rsid w:val="00F050A4"/>
    <w:rsid w:val="00F05164"/>
    <w:rsid w:val="00F056B8"/>
    <w:rsid w:val="00F05714"/>
    <w:rsid w:val="00F05970"/>
    <w:rsid w:val="00F059F9"/>
    <w:rsid w:val="00F05AB0"/>
    <w:rsid w:val="00F05FF0"/>
    <w:rsid w:val="00F065CB"/>
    <w:rsid w:val="00F0669B"/>
    <w:rsid w:val="00F068D9"/>
    <w:rsid w:val="00F06938"/>
    <w:rsid w:val="00F069BF"/>
    <w:rsid w:val="00F06CED"/>
    <w:rsid w:val="00F073E9"/>
    <w:rsid w:val="00F1005B"/>
    <w:rsid w:val="00F10330"/>
    <w:rsid w:val="00F1034B"/>
    <w:rsid w:val="00F1053F"/>
    <w:rsid w:val="00F1083E"/>
    <w:rsid w:val="00F10AE6"/>
    <w:rsid w:val="00F111C0"/>
    <w:rsid w:val="00F11319"/>
    <w:rsid w:val="00F115B7"/>
    <w:rsid w:val="00F116E5"/>
    <w:rsid w:val="00F11852"/>
    <w:rsid w:val="00F118EB"/>
    <w:rsid w:val="00F11C14"/>
    <w:rsid w:val="00F11C1D"/>
    <w:rsid w:val="00F11CBE"/>
    <w:rsid w:val="00F11D92"/>
    <w:rsid w:val="00F1200A"/>
    <w:rsid w:val="00F12231"/>
    <w:rsid w:val="00F12516"/>
    <w:rsid w:val="00F125E0"/>
    <w:rsid w:val="00F13011"/>
    <w:rsid w:val="00F130AB"/>
    <w:rsid w:val="00F13475"/>
    <w:rsid w:val="00F135D3"/>
    <w:rsid w:val="00F13723"/>
    <w:rsid w:val="00F13954"/>
    <w:rsid w:val="00F13AA7"/>
    <w:rsid w:val="00F13B54"/>
    <w:rsid w:val="00F14175"/>
    <w:rsid w:val="00F14330"/>
    <w:rsid w:val="00F146AC"/>
    <w:rsid w:val="00F1535D"/>
    <w:rsid w:val="00F1554C"/>
    <w:rsid w:val="00F15767"/>
    <w:rsid w:val="00F15A30"/>
    <w:rsid w:val="00F15F41"/>
    <w:rsid w:val="00F15F60"/>
    <w:rsid w:val="00F16129"/>
    <w:rsid w:val="00F1641C"/>
    <w:rsid w:val="00F16B2A"/>
    <w:rsid w:val="00F16BED"/>
    <w:rsid w:val="00F16DA1"/>
    <w:rsid w:val="00F17044"/>
    <w:rsid w:val="00F1713E"/>
    <w:rsid w:val="00F17148"/>
    <w:rsid w:val="00F174E4"/>
    <w:rsid w:val="00F17A53"/>
    <w:rsid w:val="00F205F2"/>
    <w:rsid w:val="00F2089E"/>
    <w:rsid w:val="00F208FB"/>
    <w:rsid w:val="00F209E8"/>
    <w:rsid w:val="00F210B5"/>
    <w:rsid w:val="00F21227"/>
    <w:rsid w:val="00F21634"/>
    <w:rsid w:val="00F216C8"/>
    <w:rsid w:val="00F218A5"/>
    <w:rsid w:val="00F219E8"/>
    <w:rsid w:val="00F21AA0"/>
    <w:rsid w:val="00F21C76"/>
    <w:rsid w:val="00F22051"/>
    <w:rsid w:val="00F224AB"/>
    <w:rsid w:val="00F224BD"/>
    <w:rsid w:val="00F22663"/>
    <w:rsid w:val="00F22739"/>
    <w:rsid w:val="00F229CE"/>
    <w:rsid w:val="00F229EB"/>
    <w:rsid w:val="00F22F07"/>
    <w:rsid w:val="00F2371F"/>
    <w:rsid w:val="00F23DF8"/>
    <w:rsid w:val="00F23F14"/>
    <w:rsid w:val="00F242D2"/>
    <w:rsid w:val="00F244BF"/>
    <w:rsid w:val="00F245AE"/>
    <w:rsid w:val="00F249A5"/>
    <w:rsid w:val="00F249AB"/>
    <w:rsid w:val="00F249B8"/>
    <w:rsid w:val="00F24BCE"/>
    <w:rsid w:val="00F24E4B"/>
    <w:rsid w:val="00F24ED8"/>
    <w:rsid w:val="00F2520D"/>
    <w:rsid w:val="00F25313"/>
    <w:rsid w:val="00F2554F"/>
    <w:rsid w:val="00F2594F"/>
    <w:rsid w:val="00F25B9E"/>
    <w:rsid w:val="00F25BAC"/>
    <w:rsid w:val="00F25D87"/>
    <w:rsid w:val="00F260F3"/>
    <w:rsid w:val="00F26211"/>
    <w:rsid w:val="00F26591"/>
    <w:rsid w:val="00F26663"/>
    <w:rsid w:val="00F2678C"/>
    <w:rsid w:val="00F26949"/>
    <w:rsid w:val="00F26987"/>
    <w:rsid w:val="00F26C88"/>
    <w:rsid w:val="00F26FE4"/>
    <w:rsid w:val="00F270C2"/>
    <w:rsid w:val="00F2727F"/>
    <w:rsid w:val="00F27303"/>
    <w:rsid w:val="00F27374"/>
    <w:rsid w:val="00F273D9"/>
    <w:rsid w:val="00F275AF"/>
    <w:rsid w:val="00F2782C"/>
    <w:rsid w:val="00F2798E"/>
    <w:rsid w:val="00F27999"/>
    <w:rsid w:val="00F279D7"/>
    <w:rsid w:val="00F27AF1"/>
    <w:rsid w:val="00F27D45"/>
    <w:rsid w:val="00F27D74"/>
    <w:rsid w:val="00F27FBF"/>
    <w:rsid w:val="00F3023B"/>
    <w:rsid w:val="00F303BA"/>
    <w:rsid w:val="00F3052D"/>
    <w:rsid w:val="00F306EF"/>
    <w:rsid w:val="00F308E4"/>
    <w:rsid w:val="00F3094D"/>
    <w:rsid w:val="00F30BBA"/>
    <w:rsid w:val="00F30DBF"/>
    <w:rsid w:val="00F30EFA"/>
    <w:rsid w:val="00F311E1"/>
    <w:rsid w:val="00F3134A"/>
    <w:rsid w:val="00F31562"/>
    <w:rsid w:val="00F3160E"/>
    <w:rsid w:val="00F31673"/>
    <w:rsid w:val="00F31ACC"/>
    <w:rsid w:val="00F31C6F"/>
    <w:rsid w:val="00F31F4C"/>
    <w:rsid w:val="00F32072"/>
    <w:rsid w:val="00F320CD"/>
    <w:rsid w:val="00F320FD"/>
    <w:rsid w:val="00F32592"/>
    <w:rsid w:val="00F325E2"/>
    <w:rsid w:val="00F325FC"/>
    <w:rsid w:val="00F32619"/>
    <w:rsid w:val="00F326E9"/>
    <w:rsid w:val="00F33288"/>
    <w:rsid w:val="00F33343"/>
    <w:rsid w:val="00F33C27"/>
    <w:rsid w:val="00F33D6D"/>
    <w:rsid w:val="00F33F83"/>
    <w:rsid w:val="00F34B96"/>
    <w:rsid w:val="00F34FAC"/>
    <w:rsid w:val="00F3505A"/>
    <w:rsid w:val="00F350F8"/>
    <w:rsid w:val="00F35284"/>
    <w:rsid w:val="00F352F9"/>
    <w:rsid w:val="00F35857"/>
    <w:rsid w:val="00F3590E"/>
    <w:rsid w:val="00F35981"/>
    <w:rsid w:val="00F35AE6"/>
    <w:rsid w:val="00F36505"/>
    <w:rsid w:val="00F36780"/>
    <w:rsid w:val="00F36871"/>
    <w:rsid w:val="00F36B78"/>
    <w:rsid w:val="00F36CC7"/>
    <w:rsid w:val="00F36D9F"/>
    <w:rsid w:val="00F36EC3"/>
    <w:rsid w:val="00F37009"/>
    <w:rsid w:val="00F3711D"/>
    <w:rsid w:val="00F371F5"/>
    <w:rsid w:val="00F372D0"/>
    <w:rsid w:val="00F373E4"/>
    <w:rsid w:val="00F37448"/>
    <w:rsid w:val="00F37532"/>
    <w:rsid w:val="00F37882"/>
    <w:rsid w:val="00F37A42"/>
    <w:rsid w:val="00F37A67"/>
    <w:rsid w:val="00F37CB8"/>
    <w:rsid w:val="00F37D19"/>
    <w:rsid w:val="00F37E27"/>
    <w:rsid w:val="00F40157"/>
    <w:rsid w:val="00F40348"/>
    <w:rsid w:val="00F40374"/>
    <w:rsid w:val="00F40619"/>
    <w:rsid w:val="00F40969"/>
    <w:rsid w:val="00F40E35"/>
    <w:rsid w:val="00F41189"/>
    <w:rsid w:val="00F418FE"/>
    <w:rsid w:val="00F41A19"/>
    <w:rsid w:val="00F41AD0"/>
    <w:rsid w:val="00F41DA6"/>
    <w:rsid w:val="00F4235B"/>
    <w:rsid w:val="00F42565"/>
    <w:rsid w:val="00F428A4"/>
    <w:rsid w:val="00F429B3"/>
    <w:rsid w:val="00F42C78"/>
    <w:rsid w:val="00F42D61"/>
    <w:rsid w:val="00F4315E"/>
    <w:rsid w:val="00F43197"/>
    <w:rsid w:val="00F431D0"/>
    <w:rsid w:val="00F435F3"/>
    <w:rsid w:val="00F43BCF"/>
    <w:rsid w:val="00F43C7F"/>
    <w:rsid w:val="00F43F39"/>
    <w:rsid w:val="00F4409C"/>
    <w:rsid w:val="00F4424A"/>
    <w:rsid w:val="00F448E9"/>
    <w:rsid w:val="00F44922"/>
    <w:rsid w:val="00F44FE0"/>
    <w:rsid w:val="00F45092"/>
    <w:rsid w:val="00F4509B"/>
    <w:rsid w:val="00F45227"/>
    <w:rsid w:val="00F4563A"/>
    <w:rsid w:val="00F45902"/>
    <w:rsid w:val="00F4597D"/>
    <w:rsid w:val="00F45AA0"/>
    <w:rsid w:val="00F461BE"/>
    <w:rsid w:val="00F463AE"/>
    <w:rsid w:val="00F46558"/>
    <w:rsid w:val="00F466B8"/>
    <w:rsid w:val="00F467B5"/>
    <w:rsid w:val="00F46813"/>
    <w:rsid w:val="00F46943"/>
    <w:rsid w:val="00F46A15"/>
    <w:rsid w:val="00F46BBB"/>
    <w:rsid w:val="00F470AF"/>
    <w:rsid w:val="00F47A3C"/>
    <w:rsid w:val="00F47C3B"/>
    <w:rsid w:val="00F47EC5"/>
    <w:rsid w:val="00F50762"/>
    <w:rsid w:val="00F50821"/>
    <w:rsid w:val="00F50949"/>
    <w:rsid w:val="00F50956"/>
    <w:rsid w:val="00F50BA0"/>
    <w:rsid w:val="00F513FA"/>
    <w:rsid w:val="00F51619"/>
    <w:rsid w:val="00F51870"/>
    <w:rsid w:val="00F51EAB"/>
    <w:rsid w:val="00F523D9"/>
    <w:rsid w:val="00F52605"/>
    <w:rsid w:val="00F526FE"/>
    <w:rsid w:val="00F527B7"/>
    <w:rsid w:val="00F52FB0"/>
    <w:rsid w:val="00F535FD"/>
    <w:rsid w:val="00F53968"/>
    <w:rsid w:val="00F53995"/>
    <w:rsid w:val="00F539D6"/>
    <w:rsid w:val="00F53CCF"/>
    <w:rsid w:val="00F541B7"/>
    <w:rsid w:val="00F544A5"/>
    <w:rsid w:val="00F54921"/>
    <w:rsid w:val="00F549FE"/>
    <w:rsid w:val="00F54BF8"/>
    <w:rsid w:val="00F54CD9"/>
    <w:rsid w:val="00F54F38"/>
    <w:rsid w:val="00F54F6E"/>
    <w:rsid w:val="00F55635"/>
    <w:rsid w:val="00F5568B"/>
    <w:rsid w:val="00F556D8"/>
    <w:rsid w:val="00F55743"/>
    <w:rsid w:val="00F55BDD"/>
    <w:rsid w:val="00F55CF5"/>
    <w:rsid w:val="00F56143"/>
    <w:rsid w:val="00F563F6"/>
    <w:rsid w:val="00F568C1"/>
    <w:rsid w:val="00F568C6"/>
    <w:rsid w:val="00F568E7"/>
    <w:rsid w:val="00F569CF"/>
    <w:rsid w:val="00F56A22"/>
    <w:rsid w:val="00F56AB5"/>
    <w:rsid w:val="00F56B79"/>
    <w:rsid w:val="00F56FE1"/>
    <w:rsid w:val="00F573EC"/>
    <w:rsid w:val="00F577F7"/>
    <w:rsid w:val="00F57A25"/>
    <w:rsid w:val="00F57A88"/>
    <w:rsid w:val="00F57E10"/>
    <w:rsid w:val="00F60086"/>
    <w:rsid w:val="00F6009B"/>
    <w:rsid w:val="00F600E1"/>
    <w:rsid w:val="00F602E6"/>
    <w:rsid w:val="00F603FC"/>
    <w:rsid w:val="00F604F7"/>
    <w:rsid w:val="00F607E6"/>
    <w:rsid w:val="00F60F78"/>
    <w:rsid w:val="00F60FAF"/>
    <w:rsid w:val="00F614C0"/>
    <w:rsid w:val="00F6163F"/>
    <w:rsid w:val="00F6167E"/>
    <w:rsid w:val="00F61992"/>
    <w:rsid w:val="00F61BBD"/>
    <w:rsid w:val="00F6205C"/>
    <w:rsid w:val="00F62092"/>
    <w:rsid w:val="00F62129"/>
    <w:rsid w:val="00F62178"/>
    <w:rsid w:val="00F62441"/>
    <w:rsid w:val="00F62738"/>
    <w:rsid w:val="00F628A4"/>
    <w:rsid w:val="00F62DCB"/>
    <w:rsid w:val="00F631B0"/>
    <w:rsid w:val="00F63258"/>
    <w:rsid w:val="00F63335"/>
    <w:rsid w:val="00F6350E"/>
    <w:rsid w:val="00F63879"/>
    <w:rsid w:val="00F63BF5"/>
    <w:rsid w:val="00F63E13"/>
    <w:rsid w:val="00F64311"/>
    <w:rsid w:val="00F64B60"/>
    <w:rsid w:val="00F64CF6"/>
    <w:rsid w:val="00F64FBB"/>
    <w:rsid w:val="00F655D1"/>
    <w:rsid w:val="00F66122"/>
    <w:rsid w:val="00F66530"/>
    <w:rsid w:val="00F666D9"/>
    <w:rsid w:val="00F667C0"/>
    <w:rsid w:val="00F66B0A"/>
    <w:rsid w:val="00F66B0B"/>
    <w:rsid w:val="00F670EA"/>
    <w:rsid w:val="00F67A84"/>
    <w:rsid w:val="00F67A8B"/>
    <w:rsid w:val="00F67B6A"/>
    <w:rsid w:val="00F67B74"/>
    <w:rsid w:val="00F67C6E"/>
    <w:rsid w:val="00F67D1A"/>
    <w:rsid w:val="00F67ED5"/>
    <w:rsid w:val="00F700EC"/>
    <w:rsid w:val="00F7060F"/>
    <w:rsid w:val="00F7077D"/>
    <w:rsid w:val="00F707DE"/>
    <w:rsid w:val="00F7092C"/>
    <w:rsid w:val="00F70C52"/>
    <w:rsid w:val="00F70E9B"/>
    <w:rsid w:val="00F70F94"/>
    <w:rsid w:val="00F711ED"/>
    <w:rsid w:val="00F712F9"/>
    <w:rsid w:val="00F714E2"/>
    <w:rsid w:val="00F71943"/>
    <w:rsid w:val="00F720D5"/>
    <w:rsid w:val="00F72134"/>
    <w:rsid w:val="00F72449"/>
    <w:rsid w:val="00F725CE"/>
    <w:rsid w:val="00F72E76"/>
    <w:rsid w:val="00F732BA"/>
    <w:rsid w:val="00F73328"/>
    <w:rsid w:val="00F73D87"/>
    <w:rsid w:val="00F73FEA"/>
    <w:rsid w:val="00F74149"/>
    <w:rsid w:val="00F742BB"/>
    <w:rsid w:val="00F74A0E"/>
    <w:rsid w:val="00F74ECB"/>
    <w:rsid w:val="00F751A2"/>
    <w:rsid w:val="00F75D31"/>
    <w:rsid w:val="00F75D54"/>
    <w:rsid w:val="00F75D93"/>
    <w:rsid w:val="00F761FC"/>
    <w:rsid w:val="00F76E66"/>
    <w:rsid w:val="00F7711D"/>
    <w:rsid w:val="00F773E8"/>
    <w:rsid w:val="00F7744C"/>
    <w:rsid w:val="00F77595"/>
    <w:rsid w:val="00F77B04"/>
    <w:rsid w:val="00F77D06"/>
    <w:rsid w:val="00F77F2B"/>
    <w:rsid w:val="00F77F56"/>
    <w:rsid w:val="00F77F6E"/>
    <w:rsid w:val="00F805D9"/>
    <w:rsid w:val="00F80606"/>
    <w:rsid w:val="00F80A93"/>
    <w:rsid w:val="00F80D38"/>
    <w:rsid w:val="00F80E88"/>
    <w:rsid w:val="00F80ED8"/>
    <w:rsid w:val="00F81616"/>
    <w:rsid w:val="00F818D9"/>
    <w:rsid w:val="00F81947"/>
    <w:rsid w:val="00F81955"/>
    <w:rsid w:val="00F81B33"/>
    <w:rsid w:val="00F81BE1"/>
    <w:rsid w:val="00F81EB8"/>
    <w:rsid w:val="00F820CF"/>
    <w:rsid w:val="00F8211B"/>
    <w:rsid w:val="00F82219"/>
    <w:rsid w:val="00F828F5"/>
    <w:rsid w:val="00F82AB6"/>
    <w:rsid w:val="00F82FA6"/>
    <w:rsid w:val="00F830C7"/>
    <w:rsid w:val="00F8381F"/>
    <w:rsid w:val="00F839B0"/>
    <w:rsid w:val="00F83B31"/>
    <w:rsid w:val="00F83B81"/>
    <w:rsid w:val="00F83BD9"/>
    <w:rsid w:val="00F83C3E"/>
    <w:rsid w:val="00F83EC1"/>
    <w:rsid w:val="00F843E1"/>
    <w:rsid w:val="00F84688"/>
    <w:rsid w:val="00F848CA"/>
    <w:rsid w:val="00F84AF0"/>
    <w:rsid w:val="00F850D3"/>
    <w:rsid w:val="00F8529E"/>
    <w:rsid w:val="00F854C4"/>
    <w:rsid w:val="00F8562C"/>
    <w:rsid w:val="00F85634"/>
    <w:rsid w:val="00F85773"/>
    <w:rsid w:val="00F85BB8"/>
    <w:rsid w:val="00F86121"/>
    <w:rsid w:val="00F86399"/>
    <w:rsid w:val="00F8677C"/>
    <w:rsid w:val="00F87026"/>
    <w:rsid w:val="00F871CB"/>
    <w:rsid w:val="00F871D4"/>
    <w:rsid w:val="00F871F7"/>
    <w:rsid w:val="00F8723F"/>
    <w:rsid w:val="00F87842"/>
    <w:rsid w:val="00F87A35"/>
    <w:rsid w:val="00F87BCE"/>
    <w:rsid w:val="00F87D13"/>
    <w:rsid w:val="00F90720"/>
    <w:rsid w:val="00F9089C"/>
    <w:rsid w:val="00F908F9"/>
    <w:rsid w:val="00F90BAC"/>
    <w:rsid w:val="00F90E5A"/>
    <w:rsid w:val="00F911BC"/>
    <w:rsid w:val="00F91262"/>
    <w:rsid w:val="00F912AA"/>
    <w:rsid w:val="00F91648"/>
    <w:rsid w:val="00F917A5"/>
    <w:rsid w:val="00F91BBA"/>
    <w:rsid w:val="00F91C7B"/>
    <w:rsid w:val="00F9208B"/>
    <w:rsid w:val="00F921A8"/>
    <w:rsid w:val="00F92AAF"/>
    <w:rsid w:val="00F92DFC"/>
    <w:rsid w:val="00F92EA5"/>
    <w:rsid w:val="00F92F51"/>
    <w:rsid w:val="00F93418"/>
    <w:rsid w:val="00F9390C"/>
    <w:rsid w:val="00F93918"/>
    <w:rsid w:val="00F939EE"/>
    <w:rsid w:val="00F93A31"/>
    <w:rsid w:val="00F943DC"/>
    <w:rsid w:val="00F94433"/>
    <w:rsid w:val="00F94687"/>
    <w:rsid w:val="00F94780"/>
    <w:rsid w:val="00F948B5"/>
    <w:rsid w:val="00F948C3"/>
    <w:rsid w:val="00F94B23"/>
    <w:rsid w:val="00F94C84"/>
    <w:rsid w:val="00F94E9F"/>
    <w:rsid w:val="00F94FA8"/>
    <w:rsid w:val="00F95242"/>
    <w:rsid w:val="00F952FA"/>
    <w:rsid w:val="00F960EC"/>
    <w:rsid w:val="00F9673B"/>
    <w:rsid w:val="00F968FD"/>
    <w:rsid w:val="00F96BAA"/>
    <w:rsid w:val="00F96C67"/>
    <w:rsid w:val="00F96C79"/>
    <w:rsid w:val="00F96CA7"/>
    <w:rsid w:val="00F96D34"/>
    <w:rsid w:val="00F96E59"/>
    <w:rsid w:val="00F970BE"/>
    <w:rsid w:val="00F97732"/>
    <w:rsid w:val="00F977E4"/>
    <w:rsid w:val="00F97C7A"/>
    <w:rsid w:val="00F97D0F"/>
    <w:rsid w:val="00F97E88"/>
    <w:rsid w:val="00F97F65"/>
    <w:rsid w:val="00FA0A4B"/>
    <w:rsid w:val="00FA0A94"/>
    <w:rsid w:val="00FA1404"/>
    <w:rsid w:val="00FA149C"/>
    <w:rsid w:val="00FA1937"/>
    <w:rsid w:val="00FA1971"/>
    <w:rsid w:val="00FA1B1C"/>
    <w:rsid w:val="00FA1BEE"/>
    <w:rsid w:val="00FA1F21"/>
    <w:rsid w:val="00FA1F4C"/>
    <w:rsid w:val="00FA212C"/>
    <w:rsid w:val="00FA214D"/>
    <w:rsid w:val="00FA2726"/>
    <w:rsid w:val="00FA27E3"/>
    <w:rsid w:val="00FA2A09"/>
    <w:rsid w:val="00FA2D01"/>
    <w:rsid w:val="00FA2D1E"/>
    <w:rsid w:val="00FA2DF2"/>
    <w:rsid w:val="00FA2EE7"/>
    <w:rsid w:val="00FA31DF"/>
    <w:rsid w:val="00FA34E4"/>
    <w:rsid w:val="00FA3878"/>
    <w:rsid w:val="00FA3B70"/>
    <w:rsid w:val="00FA3B72"/>
    <w:rsid w:val="00FA3BF8"/>
    <w:rsid w:val="00FA424C"/>
    <w:rsid w:val="00FA44C0"/>
    <w:rsid w:val="00FA479E"/>
    <w:rsid w:val="00FA4844"/>
    <w:rsid w:val="00FA48BA"/>
    <w:rsid w:val="00FA4AE5"/>
    <w:rsid w:val="00FA4C18"/>
    <w:rsid w:val="00FA4E32"/>
    <w:rsid w:val="00FA4E8E"/>
    <w:rsid w:val="00FA5059"/>
    <w:rsid w:val="00FA5458"/>
    <w:rsid w:val="00FA5ACC"/>
    <w:rsid w:val="00FA671F"/>
    <w:rsid w:val="00FA675A"/>
    <w:rsid w:val="00FA6AE2"/>
    <w:rsid w:val="00FA70EA"/>
    <w:rsid w:val="00FA7460"/>
    <w:rsid w:val="00FA7758"/>
    <w:rsid w:val="00FA7A91"/>
    <w:rsid w:val="00FA7AE3"/>
    <w:rsid w:val="00FA7FA7"/>
    <w:rsid w:val="00FB0193"/>
    <w:rsid w:val="00FB0459"/>
    <w:rsid w:val="00FB0892"/>
    <w:rsid w:val="00FB0B2E"/>
    <w:rsid w:val="00FB0BA5"/>
    <w:rsid w:val="00FB1653"/>
    <w:rsid w:val="00FB1921"/>
    <w:rsid w:val="00FB1A69"/>
    <w:rsid w:val="00FB1B74"/>
    <w:rsid w:val="00FB1B76"/>
    <w:rsid w:val="00FB2368"/>
    <w:rsid w:val="00FB28DF"/>
    <w:rsid w:val="00FB2B7E"/>
    <w:rsid w:val="00FB2D65"/>
    <w:rsid w:val="00FB3148"/>
    <w:rsid w:val="00FB32D7"/>
    <w:rsid w:val="00FB385D"/>
    <w:rsid w:val="00FB3BCA"/>
    <w:rsid w:val="00FB3FB9"/>
    <w:rsid w:val="00FB42C4"/>
    <w:rsid w:val="00FB435F"/>
    <w:rsid w:val="00FB436C"/>
    <w:rsid w:val="00FB46C2"/>
    <w:rsid w:val="00FB4880"/>
    <w:rsid w:val="00FB4935"/>
    <w:rsid w:val="00FB4A6B"/>
    <w:rsid w:val="00FB504E"/>
    <w:rsid w:val="00FB50CB"/>
    <w:rsid w:val="00FB51F1"/>
    <w:rsid w:val="00FB53F2"/>
    <w:rsid w:val="00FB59D1"/>
    <w:rsid w:val="00FB5A91"/>
    <w:rsid w:val="00FB6266"/>
    <w:rsid w:val="00FB6272"/>
    <w:rsid w:val="00FB64E9"/>
    <w:rsid w:val="00FB655A"/>
    <w:rsid w:val="00FB67AD"/>
    <w:rsid w:val="00FB6A44"/>
    <w:rsid w:val="00FB6A9A"/>
    <w:rsid w:val="00FB6C92"/>
    <w:rsid w:val="00FB73FC"/>
    <w:rsid w:val="00FB7C15"/>
    <w:rsid w:val="00FB7DBF"/>
    <w:rsid w:val="00FC0668"/>
    <w:rsid w:val="00FC0689"/>
    <w:rsid w:val="00FC071F"/>
    <w:rsid w:val="00FC092F"/>
    <w:rsid w:val="00FC09CF"/>
    <w:rsid w:val="00FC0A9D"/>
    <w:rsid w:val="00FC0AC8"/>
    <w:rsid w:val="00FC0B68"/>
    <w:rsid w:val="00FC0E47"/>
    <w:rsid w:val="00FC0F3B"/>
    <w:rsid w:val="00FC0FFC"/>
    <w:rsid w:val="00FC1535"/>
    <w:rsid w:val="00FC1B62"/>
    <w:rsid w:val="00FC1C3D"/>
    <w:rsid w:val="00FC1F09"/>
    <w:rsid w:val="00FC1F48"/>
    <w:rsid w:val="00FC20C1"/>
    <w:rsid w:val="00FC2237"/>
    <w:rsid w:val="00FC2429"/>
    <w:rsid w:val="00FC2AC3"/>
    <w:rsid w:val="00FC2DCE"/>
    <w:rsid w:val="00FC2F12"/>
    <w:rsid w:val="00FC3009"/>
    <w:rsid w:val="00FC300B"/>
    <w:rsid w:val="00FC34B5"/>
    <w:rsid w:val="00FC34C5"/>
    <w:rsid w:val="00FC386B"/>
    <w:rsid w:val="00FC3BF4"/>
    <w:rsid w:val="00FC3CDC"/>
    <w:rsid w:val="00FC3DC7"/>
    <w:rsid w:val="00FC41C3"/>
    <w:rsid w:val="00FC47DB"/>
    <w:rsid w:val="00FC4EC3"/>
    <w:rsid w:val="00FC4FCB"/>
    <w:rsid w:val="00FC501F"/>
    <w:rsid w:val="00FC5298"/>
    <w:rsid w:val="00FC54B1"/>
    <w:rsid w:val="00FC5F95"/>
    <w:rsid w:val="00FC6162"/>
    <w:rsid w:val="00FC6A1A"/>
    <w:rsid w:val="00FC6A32"/>
    <w:rsid w:val="00FC6BDD"/>
    <w:rsid w:val="00FC6E9C"/>
    <w:rsid w:val="00FC7073"/>
    <w:rsid w:val="00FC7738"/>
    <w:rsid w:val="00FC79BB"/>
    <w:rsid w:val="00FD0186"/>
    <w:rsid w:val="00FD0269"/>
    <w:rsid w:val="00FD02C2"/>
    <w:rsid w:val="00FD080D"/>
    <w:rsid w:val="00FD0A84"/>
    <w:rsid w:val="00FD0DF1"/>
    <w:rsid w:val="00FD0FE0"/>
    <w:rsid w:val="00FD101D"/>
    <w:rsid w:val="00FD1288"/>
    <w:rsid w:val="00FD14F6"/>
    <w:rsid w:val="00FD170F"/>
    <w:rsid w:val="00FD1ADA"/>
    <w:rsid w:val="00FD1CF7"/>
    <w:rsid w:val="00FD1F5B"/>
    <w:rsid w:val="00FD24A4"/>
    <w:rsid w:val="00FD24F5"/>
    <w:rsid w:val="00FD254C"/>
    <w:rsid w:val="00FD2583"/>
    <w:rsid w:val="00FD26AE"/>
    <w:rsid w:val="00FD2802"/>
    <w:rsid w:val="00FD2812"/>
    <w:rsid w:val="00FD2B80"/>
    <w:rsid w:val="00FD2C11"/>
    <w:rsid w:val="00FD2E5C"/>
    <w:rsid w:val="00FD3843"/>
    <w:rsid w:val="00FD3AC9"/>
    <w:rsid w:val="00FD3B90"/>
    <w:rsid w:val="00FD3DD5"/>
    <w:rsid w:val="00FD3E47"/>
    <w:rsid w:val="00FD498C"/>
    <w:rsid w:val="00FD5333"/>
    <w:rsid w:val="00FD53D0"/>
    <w:rsid w:val="00FD53F6"/>
    <w:rsid w:val="00FD5474"/>
    <w:rsid w:val="00FD55C0"/>
    <w:rsid w:val="00FD5AE1"/>
    <w:rsid w:val="00FD5CEB"/>
    <w:rsid w:val="00FD5D41"/>
    <w:rsid w:val="00FD5F07"/>
    <w:rsid w:val="00FD63F3"/>
    <w:rsid w:val="00FD6463"/>
    <w:rsid w:val="00FD7874"/>
    <w:rsid w:val="00FD7A05"/>
    <w:rsid w:val="00FD7B19"/>
    <w:rsid w:val="00FD7DAE"/>
    <w:rsid w:val="00FE063A"/>
    <w:rsid w:val="00FE08E7"/>
    <w:rsid w:val="00FE098D"/>
    <w:rsid w:val="00FE0BB9"/>
    <w:rsid w:val="00FE0CF8"/>
    <w:rsid w:val="00FE1042"/>
    <w:rsid w:val="00FE11CB"/>
    <w:rsid w:val="00FE1321"/>
    <w:rsid w:val="00FE1510"/>
    <w:rsid w:val="00FE17CB"/>
    <w:rsid w:val="00FE1A65"/>
    <w:rsid w:val="00FE1D2D"/>
    <w:rsid w:val="00FE1E46"/>
    <w:rsid w:val="00FE1E4C"/>
    <w:rsid w:val="00FE1F10"/>
    <w:rsid w:val="00FE208E"/>
    <w:rsid w:val="00FE24CD"/>
    <w:rsid w:val="00FE24F9"/>
    <w:rsid w:val="00FE2AC8"/>
    <w:rsid w:val="00FE2AFD"/>
    <w:rsid w:val="00FE2D65"/>
    <w:rsid w:val="00FE2FAE"/>
    <w:rsid w:val="00FE31AD"/>
    <w:rsid w:val="00FE328D"/>
    <w:rsid w:val="00FE380B"/>
    <w:rsid w:val="00FE38AD"/>
    <w:rsid w:val="00FE3D3C"/>
    <w:rsid w:val="00FE3FA2"/>
    <w:rsid w:val="00FE4362"/>
    <w:rsid w:val="00FE4382"/>
    <w:rsid w:val="00FE4516"/>
    <w:rsid w:val="00FE4A14"/>
    <w:rsid w:val="00FE50E6"/>
    <w:rsid w:val="00FE515C"/>
    <w:rsid w:val="00FE53FB"/>
    <w:rsid w:val="00FE55F7"/>
    <w:rsid w:val="00FE56E4"/>
    <w:rsid w:val="00FE5786"/>
    <w:rsid w:val="00FE5EA7"/>
    <w:rsid w:val="00FE61CA"/>
    <w:rsid w:val="00FE64A8"/>
    <w:rsid w:val="00FE6606"/>
    <w:rsid w:val="00FE6791"/>
    <w:rsid w:val="00FE6840"/>
    <w:rsid w:val="00FE68D5"/>
    <w:rsid w:val="00FE69D1"/>
    <w:rsid w:val="00FE70C0"/>
    <w:rsid w:val="00FE71F4"/>
    <w:rsid w:val="00FE71FF"/>
    <w:rsid w:val="00FE744D"/>
    <w:rsid w:val="00FE7989"/>
    <w:rsid w:val="00FE7A89"/>
    <w:rsid w:val="00FE7FA3"/>
    <w:rsid w:val="00FF0532"/>
    <w:rsid w:val="00FF11A4"/>
    <w:rsid w:val="00FF128A"/>
    <w:rsid w:val="00FF19A2"/>
    <w:rsid w:val="00FF1A58"/>
    <w:rsid w:val="00FF1BE9"/>
    <w:rsid w:val="00FF1FDE"/>
    <w:rsid w:val="00FF20CD"/>
    <w:rsid w:val="00FF2684"/>
    <w:rsid w:val="00FF304A"/>
    <w:rsid w:val="00FF3087"/>
    <w:rsid w:val="00FF351F"/>
    <w:rsid w:val="00FF3A2D"/>
    <w:rsid w:val="00FF45A5"/>
    <w:rsid w:val="00FF533C"/>
    <w:rsid w:val="00FF5935"/>
    <w:rsid w:val="00FF5AB1"/>
    <w:rsid w:val="00FF5DFF"/>
    <w:rsid w:val="00FF63FC"/>
    <w:rsid w:val="00FF6A96"/>
    <w:rsid w:val="00FF6D90"/>
    <w:rsid w:val="00FF7034"/>
    <w:rsid w:val="00FF7288"/>
    <w:rsid w:val="00FF73C0"/>
    <w:rsid w:val="00FF73FA"/>
    <w:rsid w:val="00FF7684"/>
    <w:rsid w:val="00FF7865"/>
    <w:rsid w:val="00FF7E1A"/>
    <w:rsid w:val="015E6FCC"/>
    <w:rsid w:val="01630AEA"/>
    <w:rsid w:val="018135FB"/>
    <w:rsid w:val="0195A244"/>
    <w:rsid w:val="019A2C65"/>
    <w:rsid w:val="01CD6F4B"/>
    <w:rsid w:val="01E38325"/>
    <w:rsid w:val="01E7B1A5"/>
    <w:rsid w:val="023B6FBA"/>
    <w:rsid w:val="024E0D8A"/>
    <w:rsid w:val="024FCC2C"/>
    <w:rsid w:val="02552FBF"/>
    <w:rsid w:val="025B487F"/>
    <w:rsid w:val="026F9AD2"/>
    <w:rsid w:val="02A06C43"/>
    <w:rsid w:val="02CC6778"/>
    <w:rsid w:val="02F96CC8"/>
    <w:rsid w:val="02FD77D3"/>
    <w:rsid w:val="031B66B2"/>
    <w:rsid w:val="032EF5D1"/>
    <w:rsid w:val="03721476"/>
    <w:rsid w:val="03782FED"/>
    <w:rsid w:val="04061A7C"/>
    <w:rsid w:val="04533958"/>
    <w:rsid w:val="045464E5"/>
    <w:rsid w:val="05024201"/>
    <w:rsid w:val="0524F33D"/>
    <w:rsid w:val="059C2162"/>
    <w:rsid w:val="05B664E2"/>
    <w:rsid w:val="05B8EE04"/>
    <w:rsid w:val="05DFB620"/>
    <w:rsid w:val="05E50206"/>
    <w:rsid w:val="05EF9F47"/>
    <w:rsid w:val="05FC6217"/>
    <w:rsid w:val="0659C616"/>
    <w:rsid w:val="065EA109"/>
    <w:rsid w:val="0686978C"/>
    <w:rsid w:val="06BD467E"/>
    <w:rsid w:val="06EBA0C9"/>
    <w:rsid w:val="0700F491"/>
    <w:rsid w:val="07129A0C"/>
    <w:rsid w:val="071ABCE5"/>
    <w:rsid w:val="07200729"/>
    <w:rsid w:val="072529D0"/>
    <w:rsid w:val="07269279"/>
    <w:rsid w:val="0761A4D4"/>
    <w:rsid w:val="0782821C"/>
    <w:rsid w:val="07AA495F"/>
    <w:rsid w:val="07C0E26E"/>
    <w:rsid w:val="07F34DDC"/>
    <w:rsid w:val="07F8D456"/>
    <w:rsid w:val="07F99422"/>
    <w:rsid w:val="0805BC0C"/>
    <w:rsid w:val="084DD2F9"/>
    <w:rsid w:val="0857AF92"/>
    <w:rsid w:val="085A7640"/>
    <w:rsid w:val="08611037"/>
    <w:rsid w:val="08B4C345"/>
    <w:rsid w:val="08CC4414"/>
    <w:rsid w:val="08E84118"/>
    <w:rsid w:val="08F76D56"/>
    <w:rsid w:val="091A6182"/>
    <w:rsid w:val="0939CBB6"/>
    <w:rsid w:val="093C0DFC"/>
    <w:rsid w:val="0979901B"/>
    <w:rsid w:val="097EF44A"/>
    <w:rsid w:val="0A103272"/>
    <w:rsid w:val="0A1900FE"/>
    <w:rsid w:val="0A79CDC9"/>
    <w:rsid w:val="0A9CB586"/>
    <w:rsid w:val="0AA1B081"/>
    <w:rsid w:val="0AAF5CB5"/>
    <w:rsid w:val="0AC06019"/>
    <w:rsid w:val="0B039180"/>
    <w:rsid w:val="0B095773"/>
    <w:rsid w:val="0B1A75DF"/>
    <w:rsid w:val="0B23D5A6"/>
    <w:rsid w:val="0B51DBE6"/>
    <w:rsid w:val="0B76573D"/>
    <w:rsid w:val="0B8138DD"/>
    <w:rsid w:val="0B8CBA91"/>
    <w:rsid w:val="0B91A173"/>
    <w:rsid w:val="0BA8505A"/>
    <w:rsid w:val="0BC2A6C8"/>
    <w:rsid w:val="0C149F3D"/>
    <w:rsid w:val="0C1823A1"/>
    <w:rsid w:val="0C7EF97B"/>
    <w:rsid w:val="0C8ED820"/>
    <w:rsid w:val="0C9276AF"/>
    <w:rsid w:val="0CACA796"/>
    <w:rsid w:val="0CBD1C89"/>
    <w:rsid w:val="0CE070C3"/>
    <w:rsid w:val="0CE0A62C"/>
    <w:rsid w:val="0D3ADAF4"/>
    <w:rsid w:val="0D74972D"/>
    <w:rsid w:val="0D9C2150"/>
    <w:rsid w:val="0DB25EA8"/>
    <w:rsid w:val="0DBF4CB3"/>
    <w:rsid w:val="0DC0C485"/>
    <w:rsid w:val="0DD0052F"/>
    <w:rsid w:val="0DFAED24"/>
    <w:rsid w:val="0E04C285"/>
    <w:rsid w:val="0E04EFF0"/>
    <w:rsid w:val="0E1943DC"/>
    <w:rsid w:val="0E19CA9B"/>
    <w:rsid w:val="0E95B36C"/>
    <w:rsid w:val="0EB6617C"/>
    <w:rsid w:val="0EC7829E"/>
    <w:rsid w:val="0EC8762E"/>
    <w:rsid w:val="0EF479E1"/>
    <w:rsid w:val="0F044394"/>
    <w:rsid w:val="0F1A8DDD"/>
    <w:rsid w:val="0F85C622"/>
    <w:rsid w:val="0FB0E2DC"/>
    <w:rsid w:val="0FB187DB"/>
    <w:rsid w:val="0FC948D9"/>
    <w:rsid w:val="0FCFF48A"/>
    <w:rsid w:val="1004F885"/>
    <w:rsid w:val="1014059D"/>
    <w:rsid w:val="104FE762"/>
    <w:rsid w:val="107FE46B"/>
    <w:rsid w:val="10B1DA4D"/>
    <w:rsid w:val="10B7EA48"/>
    <w:rsid w:val="10EE3067"/>
    <w:rsid w:val="11337ACE"/>
    <w:rsid w:val="11371D70"/>
    <w:rsid w:val="116F9891"/>
    <w:rsid w:val="11C561B4"/>
    <w:rsid w:val="11D490D8"/>
    <w:rsid w:val="121E571C"/>
    <w:rsid w:val="123308DA"/>
    <w:rsid w:val="1239DC94"/>
    <w:rsid w:val="1292AE2F"/>
    <w:rsid w:val="12ACECA2"/>
    <w:rsid w:val="12DAB134"/>
    <w:rsid w:val="12EB3E35"/>
    <w:rsid w:val="12FE78F8"/>
    <w:rsid w:val="130ABA45"/>
    <w:rsid w:val="130D2119"/>
    <w:rsid w:val="13131868"/>
    <w:rsid w:val="131FF158"/>
    <w:rsid w:val="13651798"/>
    <w:rsid w:val="13BE0C52"/>
    <w:rsid w:val="13C9D134"/>
    <w:rsid w:val="13F621C1"/>
    <w:rsid w:val="14257DC1"/>
    <w:rsid w:val="1439FB47"/>
    <w:rsid w:val="1476B015"/>
    <w:rsid w:val="149DFF71"/>
    <w:rsid w:val="14BFE0CF"/>
    <w:rsid w:val="151E5EB8"/>
    <w:rsid w:val="151E7C31"/>
    <w:rsid w:val="153F18DE"/>
    <w:rsid w:val="154FF779"/>
    <w:rsid w:val="15556B14"/>
    <w:rsid w:val="15567642"/>
    <w:rsid w:val="158DF6B1"/>
    <w:rsid w:val="15AD44AB"/>
    <w:rsid w:val="15C358B9"/>
    <w:rsid w:val="15D36770"/>
    <w:rsid w:val="15E61B71"/>
    <w:rsid w:val="163CAB26"/>
    <w:rsid w:val="164A443A"/>
    <w:rsid w:val="1670F36E"/>
    <w:rsid w:val="167E2468"/>
    <w:rsid w:val="16A09CF6"/>
    <w:rsid w:val="16A21FF6"/>
    <w:rsid w:val="16DB40E5"/>
    <w:rsid w:val="1718DADA"/>
    <w:rsid w:val="1726EF64"/>
    <w:rsid w:val="173DB50B"/>
    <w:rsid w:val="17C4440B"/>
    <w:rsid w:val="17D4094D"/>
    <w:rsid w:val="17DAF930"/>
    <w:rsid w:val="1801FF4E"/>
    <w:rsid w:val="180B867A"/>
    <w:rsid w:val="18250FFF"/>
    <w:rsid w:val="184CA438"/>
    <w:rsid w:val="18587C4F"/>
    <w:rsid w:val="185FB30C"/>
    <w:rsid w:val="186AF27C"/>
    <w:rsid w:val="18AC6433"/>
    <w:rsid w:val="18C5EA44"/>
    <w:rsid w:val="190D8C64"/>
    <w:rsid w:val="194166EE"/>
    <w:rsid w:val="1980F804"/>
    <w:rsid w:val="19D68B93"/>
    <w:rsid w:val="19FD2100"/>
    <w:rsid w:val="1A0B4EFC"/>
    <w:rsid w:val="1A12BAE1"/>
    <w:rsid w:val="1A2D6599"/>
    <w:rsid w:val="1A343B1A"/>
    <w:rsid w:val="1A73B17A"/>
    <w:rsid w:val="1A9EAAE5"/>
    <w:rsid w:val="1AA8A2BB"/>
    <w:rsid w:val="1ACBAF52"/>
    <w:rsid w:val="1AD1D6E5"/>
    <w:rsid w:val="1AF88B3B"/>
    <w:rsid w:val="1AFB2905"/>
    <w:rsid w:val="1B398C6C"/>
    <w:rsid w:val="1B557596"/>
    <w:rsid w:val="1B663C45"/>
    <w:rsid w:val="1BA201BE"/>
    <w:rsid w:val="1BAFA6EE"/>
    <w:rsid w:val="1BB99BB0"/>
    <w:rsid w:val="1BCAE029"/>
    <w:rsid w:val="1BFCB3F9"/>
    <w:rsid w:val="1C092B9A"/>
    <w:rsid w:val="1C0AE24F"/>
    <w:rsid w:val="1C3E6BEF"/>
    <w:rsid w:val="1C509DD2"/>
    <w:rsid w:val="1C619D1C"/>
    <w:rsid w:val="1C72ABF5"/>
    <w:rsid w:val="1C7FB622"/>
    <w:rsid w:val="1CA5DE49"/>
    <w:rsid w:val="1CB841B9"/>
    <w:rsid w:val="1CE90AD7"/>
    <w:rsid w:val="1CFE3B6C"/>
    <w:rsid w:val="1D4AA78D"/>
    <w:rsid w:val="1D5E0ECF"/>
    <w:rsid w:val="1D67784A"/>
    <w:rsid w:val="1DBAC7B7"/>
    <w:rsid w:val="1DEECD68"/>
    <w:rsid w:val="1DF1C12C"/>
    <w:rsid w:val="1E1BD3F2"/>
    <w:rsid w:val="1E1BDDCF"/>
    <w:rsid w:val="1E5AEBAC"/>
    <w:rsid w:val="1E6F17D0"/>
    <w:rsid w:val="1EB4CA66"/>
    <w:rsid w:val="1ED200AD"/>
    <w:rsid w:val="1EF8332D"/>
    <w:rsid w:val="1F87FF9B"/>
    <w:rsid w:val="1F8909A6"/>
    <w:rsid w:val="1FBF02A5"/>
    <w:rsid w:val="1FED7EEC"/>
    <w:rsid w:val="2016C214"/>
    <w:rsid w:val="2022035C"/>
    <w:rsid w:val="204947A3"/>
    <w:rsid w:val="2058251A"/>
    <w:rsid w:val="20EEEE80"/>
    <w:rsid w:val="20EFF687"/>
    <w:rsid w:val="210DED22"/>
    <w:rsid w:val="2119F91A"/>
    <w:rsid w:val="2129EEDC"/>
    <w:rsid w:val="213EA3AF"/>
    <w:rsid w:val="2164840F"/>
    <w:rsid w:val="217F3C10"/>
    <w:rsid w:val="21A78B63"/>
    <w:rsid w:val="21B26B8D"/>
    <w:rsid w:val="21EC0234"/>
    <w:rsid w:val="223638F8"/>
    <w:rsid w:val="224C6357"/>
    <w:rsid w:val="22618BAC"/>
    <w:rsid w:val="226696B3"/>
    <w:rsid w:val="22876892"/>
    <w:rsid w:val="2299E982"/>
    <w:rsid w:val="22A22D89"/>
    <w:rsid w:val="22C9ACD7"/>
    <w:rsid w:val="22CA93EE"/>
    <w:rsid w:val="22D7A82C"/>
    <w:rsid w:val="231EA901"/>
    <w:rsid w:val="2385AF50"/>
    <w:rsid w:val="23F99AB0"/>
    <w:rsid w:val="2465406E"/>
    <w:rsid w:val="248478E3"/>
    <w:rsid w:val="249FA77F"/>
    <w:rsid w:val="24BC6E93"/>
    <w:rsid w:val="24E3559A"/>
    <w:rsid w:val="253E852F"/>
    <w:rsid w:val="25517468"/>
    <w:rsid w:val="257FA1CC"/>
    <w:rsid w:val="259731FC"/>
    <w:rsid w:val="25A0289F"/>
    <w:rsid w:val="264FFB7C"/>
    <w:rsid w:val="2669B291"/>
    <w:rsid w:val="268E5E02"/>
    <w:rsid w:val="27008172"/>
    <w:rsid w:val="2702C14A"/>
    <w:rsid w:val="2705AE51"/>
    <w:rsid w:val="2714B82E"/>
    <w:rsid w:val="2755B2ED"/>
    <w:rsid w:val="27CD61EE"/>
    <w:rsid w:val="27D50AA8"/>
    <w:rsid w:val="27FBAA3D"/>
    <w:rsid w:val="27FE0C96"/>
    <w:rsid w:val="2818E486"/>
    <w:rsid w:val="2829D046"/>
    <w:rsid w:val="2862F482"/>
    <w:rsid w:val="2866159F"/>
    <w:rsid w:val="289A3413"/>
    <w:rsid w:val="28CC1A4C"/>
    <w:rsid w:val="28DC5DA8"/>
    <w:rsid w:val="28F85D1C"/>
    <w:rsid w:val="294D18DE"/>
    <w:rsid w:val="2987997A"/>
    <w:rsid w:val="29C8F61B"/>
    <w:rsid w:val="29C9B33C"/>
    <w:rsid w:val="29D54683"/>
    <w:rsid w:val="29DEB7F0"/>
    <w:rsid w:val="29E9530C"/>
    <w:rsid w:val="2A115440"/>
    <w:rsid w:val="2A1242F6"/>
    <w:rsid w:val="2A15A08C"/>
    <w:rsid w:val="2A289A2E"/>
    <w:rsid w:val="2A491A14"/>
    <w:rsid w:val="2A689224"/>
    <w:rsid w:val="2A715019"/>
    <w:rsid w:val="2A7C2501"/>
    <w:rsid w:val="2B24FF2F"/>
    <w:rsid w:val="2B30B4B5"/>
    <w:rsid w:val="2B3745C6"/>
    <w:rsid w:val="2B9A1743"/>
    <w:rsid w:val="2BD43A04"/>
    <w:rsid w:val="2C025287"/>
    <w:rsid w:val="2C24DA1D"/>
    <w:rsid w:val="2C7D1398"/>
    <w:rsid w:val="2C7EA0D0"/>
    <w:rsid w:val="2CA77B95"/>
    <w:rsid w:val="2D3852AC"/>
    <w:rsid w:val="2D3F4CEC"/>
    <w:rsid w:val="2DCF2507"/>
    <w:rsid w:val="2DD3ACC8"/>
    <w:rsid w:val="2DEDAD72"/>
    <w:rsid w:val="2DEE211A"/>
    <w:rsid w:val="2DF29BA2"/>
    <w:rsid w:val="2E45F980"/>
    <w:rsid w:val="2ECE756B"/>
    <w:rsid w:val="2F10CCFF"/>
    <w:rsid w:val="2F380990"/>
    <w:rsid w:val="2F55A7F9"/>
    <w:rsid w:val="2F5B62C9"/>
    <w:rsid w:val="2FA551ED"/>
    <w:rsid w:val="2FB130E5"/>
    <w:rsid w:val="2FB7FCB4"/>
    <w:rsid w:val="2FB90AC8"/>
    <w:rsid w:val="3009EC92"/>
    <w:rsid w:val="3073A69A"/>
    <w:rsid w:val="309E1AB7"/>
    <w:rsid w:val="309FB240"/>
    <w:rsid w:val="30D0D0C8"/>
    <w:rsid w:val="30DE8684"/>
    <w:rsid w:val="30F8927F"/>
    <w:rsid w:val="30FF209E"/>
    <w:rsid w:val="31414AC9"/>
    <w:rsid w:val="31680B45"/>
    <w:rsid w:val="316D6127"/>
    <w:rsid w:val="318ECAB6"/>
    <w:rsid w:val="31DF2885"/>
    <w:rsid w:val="31E647CB"/>
    <w:rsid w:val="32681B08"/>
    <w:rsid w:val="32802D1B"/>
    <w:rsid w:val="32F002A3"/>
    <w:rsid w:val="32F8B085"/>
    <w:rsid w:val="32FDDCEE"/>
    <w:rsid w:val="332A195D"/>
    <w:rsid w:val="334A2B0C"/>
    <w:rsid w:val="3351C32E"/>
    <w:rsid w:val="33938B70"/>
    <w:rsid w:val="33BBA46A"/>
    <w:rsid w:val="33C1072F"/>
    <w:rsid w:val="33DAE8BD"/>
    <w:rsid w:val="342598FE"/>
    <w:rsid w:val="348D2FC6"/>
    <w:rsid w:val="34CE2104"/>
    <w:rsid w:val="350EE1A1"/>
    <w:rsid w:val="3511270D"/>
    <w:rsid w:val="351BB2FD"/>
    <w:rsid w:val="353A94A0"/>
    <w:rsid w:val="354F12CC"/>
    <w:rsid w:val="3550959A"/>
    <w:rsid w:val="35CD8657"/>
    <w:rsid w:val="35F3C371"/>
    <w:rsid w:val="3627619C"/>
    <w:rsid w:val="363385E7"/>
    <w:rsid w:val="365DBBF4"/>
    <w:rsid w:val="367C2050"/>
    <w:rsid w:val="367D77D4"/>
    <w:rsid w:val="369D531A"/>
    <w:rsid w:val="36EFD87A"/>
    <w:rsid w:val="36FB1082"/>
    <w:rsid w:val="374DBBCB"/>
    <w:rsid w:val="377DE5A5"/>
    <w:rsid w:val="379E068E"/>
    <w:rsid w:val="37A479B7"/>
    <w:rsid w:val="37F219E4"/>
    <w:rsid w:val="38709BA3"/>
    <w:rsid w:val="3873D9DF"/>
    <w:rsid w:val="38A5F7AF"/>
    <w:rsid w:val="38ED1D03"/>
    <w:rsid w:val="3912F3AC"/>
    <w:rsid w:val="392E3F02"/>
    <w:rsid w:val="394069BB"/>
    <w:rsid w:val="394F972F"/>
    <w:rsid w:val="3951AD6B"/>
    <w:rsid w:val="3965C9FA"/>
    <w:rsid w:val="39729CD4"/>
    <w:rsid w:val="3975052F"/>
    <w:rsid w:val="39DDDB33"/>
    <w:rsid w:val="3A3706C6"/>
    <w:rsid w:val="3A45590E"/>
    <w:rsid w:val="3A8790FF"/>
    <w:rsid w:val="3AC5F67A"/>
    <w:rsid w:val="3AF51656"/>
    <w:rsid w:val="3B02BB70"/>
    <w:rsid w:val="3B0C5C98"/>
    <w:rsid w:val="3B12A2E2"/>
    <w:rsid w:val="3B3B2002"/>
    <w:rsid w:val="3B654738"/>
    <w:rsid w:val="3B8F2B24"/>
    <w:rsid w:val="3BB06BA9"/>
    <w:rsid w:val="3BBE8093"/>
    <w:rsid w:val="3C0A699F"/>
    <w:rsid w:val="3C1811D9"/>
    <w:rsid w:val="3C300057"/>
    <w:rsid w:val="3C3073B2"/>
    <w:rsid w:val="3C3781C8"/>
    <w:rsid w:val="3C489731"/>
    <w:rsid w:val="3C5E5C1F"/>
    <w:rsid w:val="3D36FF51"/>
    <w:rsid w:val="3D7D3EA5"/>
    <w:rsid w:val="3D909724"/>
    <w:rsid w:val="3D9145D8"/>
    <w:rsid w:val="3DC161DD"/>
    <w:rsid w:val="3DE02211"/>
    <w:rsid w:val="3E062490"/>
    <w:rsid w:val="3E9CBCE2"/>
    <w:rsid w:val="3EC49305"/>
    <w:rsid w:val="3ED64D0E"/>
    <w:rsid w:val="3ED69E00"/>
    <w:rsid w:val="3F0F4F8A"/>
    <w:rsid w:val="3F35302A"/>
    <w:rsid w:val="3F3870C8"/>
    <w:rsid w:val="3F64CCFC"/>
    <w:rsid w:val="3F749274"/>
    <w:rsid w:val="3FF56A72"/>
    <w:rsid w:val="3FFBCD62"/>
    <w:rsid w:val="40754A0F"/>
    <w:rsid w:val="40E31744"/>
    <w:rsid w:val="40F248A7"/>
    <w:rsid w:val="40FAB649"/>
    <w:rsid w:val="411B126D"/>
    <w:rsid w:val="42305692"/>
    <w:rsid w:val="42543120"/>
    <w:rsid w:val="426ECFE8"/>
    <w:rsid w:val="4286222D"/>
    <w:rsid w:val="42F89EEC"/>
    <w:rsid w:val="42FD0477"/>
    <w:rsid w:val="43164D92"/>
    <w:rsid w:val="43165B80"/>
    <w:rsid w:val="43632BEA"/>
    <w:rsid w:val="43ACAE8C"/>
    <w:rsid w:val="43E10777"/>
    <w:rsid w:val="43F325FF"/>
    <w:rsid w:val="44298A21"/>
    <w:rsid w:val="4434DF8F"/>
    <w:rsid w:val="44367556"/>
    <w:rsid w:val="44758298"/>
    <w:rsid w:val="448E16BB"/>
    <w:rsid w:val="44C680BD"/>
    <w:rsid w:val="44CA649F"/>
    <w:rsid w:val="4525E108"/>
    <w:rsid w:val="456C3913"/>
    <w:rsid w:val="45B16723"/>
    <w:rsid w:val="45B536BA"/>
    <w:rsid w:val="45B6158A"/>
    <w:rsid w:val="45ED3C3B"/>
    <w:rsid w:val="45F4D4D0"/>
    <w:rsid w:val="461F843B"/>
    <w:rsid w:val="46D74B75"/>
    <w:rsid w:val="46DAC508"/>
    <w:rsid w:val="46FCBBA1"/>
    <w:rsid w:val="471FC985"/>
    <w:rsid w:val="4745807F"/>
    <w:rsid w:val="47908B7C"/>
    <w:rsid w:val="479C0AED"/>
    <w:rsid w:val="47E8E66F"/>
    <w:rsid w:val="483390B6"/>
    <w:rsid w:val="48C8BF49"/>
    <w:rsid w:val="48D6D566"/>
    <w:rsid w:val="48E7B913"/>
    <w:rsid w:val="49027EBA"/>
    <w:rsid w:val="491A5632"/>
    <w:rsid w:val="4920A61B"/>
    <w:rsid w:val="493B2463"/>
    <w:rsid w:val="49B95B3D"/>
    <w:rsid w:val="49D79839"/>
    <w:rsid w:val="4A1911B2"/>
    <w:rsid w:val="4A265C2F"/>
    <w:rsid w:val="4A284EC4"/>
    <w:rsid w:val="4A40EA35"/>
    <w:rsid w:val="4ADB75CE"/>
    <w:rsid w:val="4B1385A0"/>
    <w:rsid w:val="4B17BC91"/>
    <w:rsid w:val="4B1C529F"/>
    <w:rsid w:val="4B3DC1EB"/>
    <w:rsid w:val="4B603771"/>
    <w:rsid w:val="4BF1EA0C"/>
    <w:rsid w:val="4C2A5BEC"/>
    <w:rsid w:val="4C2C8BBC"/>
    <w:rsid w:val="4C855A47"/>
    <w:rsid w:val="4CBD4B02"/>
    <w:rsid w:val="4CE63ED6"/>
    <w:rsid w:val="4D065752"/>
    <w:rsid w:val="4D251025"/>
    <w:rsid w:val="4D44FD86"/>
    <w:rsid w:val="4D51FE93"/>
    <w:rsid w:val="4DC0D5EF"/>
    <w:rsid w:val="4DC8E226"/>
    <w:rsid w:val="4DE5B76B"/>
    <w:rsid w:val="4E29C0B9"/>
    <w:rsid w:val="4E2F72CC"/>
    <w:rsid w:val="4E801E3C"/>
    <w:rsid w:val="4EDC4E8C"/>
    <w:rsid w:val="4EE75ECA"/>
    <w:rsid w:val="4EFE27FE"/>
    <w:rsid w:val="4EFE2B00"/>
    <w:rsid w:val="4F0B5EDE"/>
    <w:rsid w:val="4F3CB512"/>
    <w:rsid w:val="4F45CECA"/>
    <w:rsid w:val="4F55CCCE"/>
    <w:rsid w:val="4F60BE07"/>
    <w:rsid w:val="4F7E1335"/>
    <w:rsid w:val="4FDEE325"/>
    <w:rsid w:val="5041A885"/>
    <w:rsid w:val="508C94D9"/>
    <w:rsid w:val="509ECE20"/>
    <w:rsid w:val="50A1884C"/>
    <w:rsid w:val="50EB79BB"/>
    <w:rsid w:val="50F070AB"/>
    <w:rsid w:val="510E8C7F"/>
    <w:rsid w:val="5137962C"/>
    <w:rsid w:val="51A67415"/>
    <w:rsid w:val="51C30FD3"/>
    <w:rsid w:val="522220D4"/>
    <w:rsid w:val="523530B2"/>
    <w:rsid w:val="52485E86"/>
    <w:rsid w:val="525BEF42"/>
    <w:rsid w:val="525CDCCD"/>
    <w:rsid w:val="528A2CC9"/>
    <w:rsid w:val="52A39FDF"/>
    <w:rsid w:val="52CA9E6C"/>
    <w:rsid w:val="52EAF20E"/>
    <w:rsid w:val="5302D3F9"/>
    <w:rsid w:val="53048418"/>
    <w:rsid w:val="531D39A3"/>
    <w:rsid w:val="53346374"/>
    <w:rsid w:val="5338F4C9"/>
    <w:rsid w:val="534BAF77"/>
    <w:rsid w:val="53501D8A"/>
    <w:rsid w:val="53B306FA"/>
    <w:rsid w:val="53E78C2D"/>
    <w:rsid w:val="53E7E1A4"/>
    <w:rsid w:val="53F7EAD0"/>
    <w:rsid w:val="53FD734C"/>
    <w:rsid w:val="5431F278"/>
    <w:rsid w:val="544C6F17"/>
    <w:rsid w:val="5458AE0B"/>
    <w:rsid w:val="54A51D49"/>
    <w:rsid w:val="54AA24E5"/>
    <w:rsid w:val="54C12C85"/>
    <w:rsid w:val="54CB1923"/>
    <w:rsid w:val="54FD5DFF"/>
    <w:rsid w:val="552F8FE1"/>
    <w:rsid w:val="5537CF2F"/>
    <w:rsid w:val="553FEAB9"/>
    <w:rsid w:val="555970ED"/>
    <w:rsid w:val="5594892B"/>
    <w:rsid w:val="55C3A82D"/>
    <w:rsid w:val="55D84CCA"/>
    <w:rsid w:val="55E159E0"/>
    <w:rsid w:val="55FDA605"/>
    <w:rsid w:val="5612CACE"/>
    <w:rsid w:val="563D2FA6"/>
    <w:rsid w:val="563D66FD"/>
    <w:rsid w:val="56415F85"/>
    <w:rsid w:val="56C9A097"/>
    <w:rsid w:val="56E02CB4"/>
    <w:rsid w:val="573EC6FA"/>
    <w:rsid w:val="5741BD60"/>
    <w:rsid w:val="578CD67A"/>
    <w:rsid w:val="57AA8CE9"/>
    <w:rsid w:val="58351991"/>
    <w:rsid w:val="5859BD5F"/>
    <w:rsid w:val="586E6F8E"/>
    <w:rsid w:val="58AE6ABB"/>
    <w:rsid w:val="58B791AD"/>
    <w:rsid w:val="5964DEE1"/>
    <w:rsid w:val="59BF2AEA"/>
    <w:rsid w:val="59C4F9A3"/>
    <w:rsid w:val="59C88D2E"/>
    <w:rsid w:val="59E791BE"/>
    <w:rsid w:val="5A398F5E"/>
    <w:rsid w:val="5A626735"/>
    <w:rsid w:val="5AA1BA19"/>
    <w:rsid w:val="5AE642BA"/>
    <w:rsid w:val="5B264F0C"/>
    <w:rsid w:val="5B28A6DF"/>
    <w:rsid w:val="5B3405E1"/>
    <w:rsid w:val="5B560330"/>
    <w:rsid w:val="5B84A81A"/>
    <w:rsid w:val="5B8958A3"/>
    <w:rsid w:val="5BC82330"/>
    <w:rsid w:val="5BCEC2D7"/>
    <w:rsid w:val="5C4A1975"/>
    <w:rsid w:val="5C66DC72"/>
    <w:rsid w:val="5C6C12CB"/>
    <w:rsid w:val="5C709DF0"/>
    <w:rsid w:val="5C77F91A"/>
    <w:rsid w:val="5CD44105"/>
    <w:rsid w:val="5CD4FF6B"/>
    <w:rsid w:val="5CE4798C"/>
    <w:rsid w:val="5D0047F4"/>
    <w:rsid w:val="5D2F5815"/>
    <w:rsid w:val="5D491330"/>
    <w:rsid w:val="5D4A26CC"/>
    <w:rsid w:val="5D922B4F"/>
    <w:rsid w:val="5D9FBD6E"/>
    <w:rsid w:val="5DAD901F"/>
    <w:rsid w:val="5DF6CEEA"/>
    <w:rsid w:val="5E1D503E"/>
    <w:rsid w:val="5E280E61"/>
    <w:rsid w:val="5E40FFEF"/>
    <w:rsid w:val="5E81F67A"/>
    <w:rsid w:val="5EB0E2F4"/>
    <w:rsid w:val="5F562C5F"/>
    <w:rsid w:val="5F670682"/>
    <w:rsid w:val="5F786169"/>
    <w:rsid w:val="5F84D46A"/>
    <w:rsid w:val="5F994034"/>
    <w:rsid w:val="5FA3AA78"/>
    <w:rsid w:val="5FB87A97"/>
    <w:rsid w:val="5FE94AB4"/>
    <w:rsid w:val="60126990"/>
    <w:rsid w:val="606F0356"/>
    <w:rsid w:val="60A756E5"/>
    <w:rsid w:val="60BC94A3"/>
    <w:rsid w:val="60DF994A"/>
    <w:rsid w:val="60FBB6B7"/>
    <w:rsid w:val="61AA753D"/>
    <w:rsid w:val="61F0C97E"/>
    <w:rsid w:val="61F945C6"/>
    <w:rsid w:val="62225523"/>
    <w:rsid w:val="62442F0D"/>
    <w:rsid w:val="6295AAD2"/>
    <w:rsid w:val="62AA17FA"/>
    <w:rsid w:val="634645C9"/>
    <w:rsid w:val="63573244"/>
    <w:rsid w:val="6395B4DA"/>
    <w:rsid w:val="63B9297D"/>
    <w:rsid w:val="6411C1E0"/>
    <w:rsid w:val="641A3A68"/>
    <w:rsid w:val="641A4F47"/>
    <w:rsid w:val="6436A859"/>
    <w:rsid w:val="6443B20B"/>
    <w:rsid w:val="661A00D1"/>
    <w:rsid w:val="664D6F55"/>
    <w:rsid w:val="667035E1"/>
    <w:rsid w:val="66925213"/>
    <w:rsid w:val="66ACA5D2"/>
    <w:rsid w:val="66AED6D4"/>
    <w:rsid w:val="66B3E0F7"/>
    <w:rsid w:val="66DA39EB"/>
    <w:rsid w:val="66ED1311"/>
    <w:rsid w:val="66EF5DE3"/>
    <w:rsid w:val="66F43251"/>
    <w:rsid w:val="671BD290"/>
    <w:rsid w:val="67505E76"/>
    <w:rsid w:val="678B0482"/>
    <w:rsid w:val="67D54E75"/>
    <w:rsid w:val="67F245A1"/>
    <w:rsid w:val="680CAC76"/>
    <w:rsid w:val="682A25A8"/>
    <w:rsid w:val="685CB41F"/>
    <w:rsid w:val="689D7503"/>
    <w:rsid w:val="692CF9DF"/>
    <w:rsid w:val="69557B0B"/>
    <w:rsid w:val="69FF1FC7"/>
    <w:rsid w:val="6A22302C"/>
    <w:rsid w:val="6AAE0D5D"/>
    <w:rsid w:val="6AEC4A28"/>
    <w:rsid w:val="6B3F8551"/>
    <w:rsid w:val="6B5652DA"/>
    <w:rsid w:val="6B7009D6"/>
    <w:rsid w:val="6B721C2A"/>
    <w:rsid w:val="6BCCD7D2"/>
    <w:rsid w:val="6BD18ED6"/>
    <w:rsid w:val="6BF56FD1"/>
    <w:rsid w:val="6BFF0487"/>
    <w:rsid w:val="6C109B28"/>
    <w:rsid w:val="6C70777B"/>
    <w:rsid w:val="6C750837"/>
    <w:rsid w:val="6C97DC97"/>
    <w:rsid w:val="6CD5C174"/>
    <w:rsid w:val="6CD856D3"/>
    <w:rsid w:val="6CDA9DB7"/>
    <w:rsid w:val="6D0BE455"/>
    <w:rsid w:val="6D22349D"/>
    <w:rsid w:val="6D2CF06D"/>
    <w:rsid w:val="6DB5462D"/>
    <w:rsid w:val="6DC525F7"/>
    <w:rsid w:val="6DCE390E"/>
    <w:rsid w:val="6DE71A0D"/>
    <w:rsid w:val="6E1359DC"/>
    <w:rsid w:val="6E63FB85"/>
    <w:rsid w:val="6E663265"/>
    <w:rsid w:val="6E98902B"/>
    <w:rsid w:val="6E9945B5"/>
    <w:rsid w:val="6EA7ABD1"/>
    <w:rsid w:val="6EC7C04C"/>
    <w:rsid w:val="6F029875"/>
    <w:rsid w:val="6F0BA45E"/>
    <w:rsid w:val="6F56BF90"/>
    <w:rsid w:val="6F6871A9"/>
    <w:rsid w:val="6FB032CC"/>
    <w:rsid w:val="6FE08B5C"/>
    <w:rsid w:val="6FEC5160"/>
    <w:rsid w:val="6FF95E89"/>
    <w:rsid w:val="7000CABC"/>
    <w:rsid w:val="704065DC"/>
    <w:rsid w:val="70C1D9E6"/>
    <w:rsid w:val="70C1EFEB"/>
    <w:rsid w:val="70C6AAD0"/>
    <w:rsid w:val="70CAFE5A"/>
    <w:rsid w:val="71499963"/>
    <w:rsid w:val="71A9C2D9"/>
    <w:rsid w:val="71C65A62"/>
    <w:rsid w:val="71DF7F84"/>
    <w:rsid w:val="7207E65C"/>
    <w:rsid w:val="720C1EA6"/>
    <w:rsid w:val="7267F970"/>
    <w:rsid w:val="727275E3"/>
    <w:rsid w:val="72990AA9"/>
    <w:rsid w:val="72BE87BD"/>
    <w:rsid w:val="72E8B3A6"/>
    <w:rsid w:val="731677C6"/>
    <w:rsid w:val="731AFADE"/>
    <w:rsid w:val="731D9E38"/>
    <w:rsid w:val="7364028B"/>
    <w:rsid w:val="73A70FAB"/>
    <w:rsid w:val="73B74150"/>
    <w:rsid w:val="7402A61C"/>
    <w:rsid w:val="748089BB"/>
    <w:rsid w:val="74A4A84D"/>
    <w:rsid w:val="74C615C0"/>
    <w:rsid w:val="74D2CF05"/>
    <w:rsid w:val="74E2A505"/>
    <w:rsid w:val="75627F41"/>
    <w:rsid w:val="75D9C14F"/>
    <w:rsid w:val="75DF1F3D"/>
    <w:rsid w:val="75EA264D"/>
    <w:rsid w:val="76134C84"/>
    <w:rsid w:val="763AD9E7"/>
    <w:rsid w:val="76522CF9"/>
    <w:rsid w:val="76655CA1"/>
    <w:rsid w:val="76798A36"/>
    <w:rsid w:val="76C86492"/>
    <w:rsid w:val="772B976B"/>
    <w:rsid w:val="774065D9"/>
    <w:rsid w:val="778DE746"/>
    <w:rsid w:val="7799E49E"/>
    <w:rsid w:val="77DD1F74"/>
    <w:rsid w:val="7833842A"/>
    <w:rsid w:val="784C4DCF"/>
    <w:rsid w:val="78555C2E"/>
    <w:rsid w:val="78622ECA"/>
    <w:rsid w:val="78BA87F1"/>
    <w:rsid w:val="78DB013B"/>
    <w:rsid w:val="78E73192"/>
    <w:rsid w:val="790BC885"/>
    <w:rsid w:val="7935199A"/>
    <w:rsid w:val="79B2C4B3"/>
    <w:rsid w:val="79E64D3B"/>
    <w:rsid w:val="79EAA39F"/>
    <w:rsid w:val="79F1A907"/>
    <w:rsid w:val="79F94F11"/>
    <w:rsid w:val="7A1C523A"/>
    <w:rsid w:val="7A381AED"/>
    <w:rsid w:val="7A7AF800"/>
    <w:rsid w:val="7A83126D"/>
    <w:rsid w:val="7A860E96"/>
    <w:rsid w:val="7AC09C2E"/>
    <w:rsid w:val="7B039627"/>
    <w:rsid w:val="7B045F05"/>
    <w:rsid w:val="7B24AEE0"/>
    <w:rsid w:val="7B3BFF38"/>
    <w:rsid w:val="7B4E5DD5"/>
    <w:rsid w:val="7BC1A631"/>
    <w:rsid w:val="7BD66CD3"/>
    <w:rsid w:val="7BE34AD0"/>
    <w:rsid w:val="7BE722DC"/>
    <w:rsid w:val="7BF88086"/>
    <w:rsid w:val="7C010A6F"/>
    <w:rsid w:val="7C0DD55D"/>
    <w:rsid w:val="7C28F7B2"/>
    <w:rsid w:val="7C4A3468"/>
    <w:rsid w:val="7C7AD2D6"/>
    <w:rsid w:val="7C943DB3"/>
    <w:rsid w:val="7CB18640"/>
    <w:rsid w:val="7CBC6F8B"/>
    <w:rsid w:val="7CDE9DF6"/>
    <w:rsid w:val="7CEB9335"/>
    <w:rsid w:val="7D2FD845"/>
    <w:rsid w:val="7D628140"/>
    <w:rsid w:val="7DEDA1EF"/>
    <w:rsid w:val="7E14E755"/>
    <w:rsid w:val="7E48B39D"/>
    <w:rsid w:val="7E7870CF"/>
    <w:rsid w:val="7F443188"/>
    <w:rsid w:val="7F4ED582"/>
    <w:rsid w:val="7F6C5002"/>
    <w:rsid w:val="7F8BD7E4"/>
    <w:rsid w:val="7FB4C3F5"/>
    <w:rsid w:val="7FF9B4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D2934"/>
  <w15:chartTrackingRefBased/>
  <w15:docId w15:val="{0B31FDB2-664E-42D7-A2D0-2F07D3CC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semiHidden="1" w:unhideWhenUsed="1" w:qFormat="1"/>
    <w:lsdException w:name="footnote reference" w:qFormat="1"/>
    <w:lsdException w:name="annotation reference" w:uiPriority="99"/>
    <w:lsdException w:name="List Bullet" w:uiPriority="6" w:qFormat="1"/>
    <w:lsdException w:name="List Bullet 2" w:uiPriority="7" w:qFormat="1"/>
    <w:lsdException w:name="List Bullet 3" w:uiPriority="8"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qFormat/>
    <w:rsid w:val="008B2CA7"/>
    <w:pPr>
      <w:keepNext/>
      <w:numPr>
        <w:numId w:val="11"/>
      </w:numPr>
      <w:spacing w:before="240" w:after="360" w:line="300" w:lineRule="atLeast"/>
      <w:outlineLvl w:val="0"/>
    </w:pPr>
    <w:rPr>
      <w:rFonts w:ascii="Arial" w:hAnsi="Arial" w:cs="Arial"/>
      <w:b/>
      <w:bCs/>
      <w:color w:val="216E96"/>
      <w:kern w:val="32"/>
      <w:sz w:val="32"/>
      <w:szCs w:val="32"/>
      <w:lang w:eastAsia="en-AU"/>
    </w:rPr>
  </w:style>
  <w:style w:type="paragraph" w:styleId="Heading2">
    <w:name w:val="heading 2"/>
    <w:next w:val="Normal"/>
    <w:link w:val="Heading2Char"/>
    <w:qFormat/>
    <w:rsid w:val="007D6A78"/>
    <w:pPr>
      <w:keepNext/>
      <w:numPr>
        <w:ilvl w:val="1"/>
        <w:numId w:val="11"/>
      </w:numPr>
      <w:spacing w:before="240" w:after="240" w:line="300" w:lineRule="atLeast"/>
      <w:outlineLvl w:val="1"/>
    </w:pPr>
    <w:rPr>
      <w:rFonts w:ascii="Arial" w:hAnsi="Arial" w:cs="Arial"/>
      <w:b/>
      <w:bCs/>
      <w:iCs/>
      <w:color w:val="0098CB"/>
      <w:sz w:val="28"/>
      <w:szCs w:val="28"/>
      <w:lang w:eastAsia="en-AU"/>
    </w:rPr>
  </w:style>
  <w:style w:type="paragraph" w:styleId="Heading3">
    <w:name w:val="heading 3"/>
    <w:next w:val="Normal"/>
    <w:qFormat/>
    <w:rsid w:val="00904F90"/>
    <w:pPr>
      <w:keepNext/>
      <w:numPr>
        <w:ilvl w:val="2"/>
        <w:numId w:val="11"/>
      </w:numPr>
      <w:spacing w:before="240" w:after="120" w:line="300" w:lineRule="atLeast"/>
      <w:outlineLvl w:val="2"/>
    </w:pPr>
    <w:rPr>
      <w:rFonts w:ascii="Arial" w:hAnsi="Arial" w:cs="Arial"/>
      <w:b/>
      <w:bCs/>
      <w:sz w:val="26"/>
      <w:szCs w:val="26"/>
      <w:lang w:eastAsia="en-AU"/>
    </w:rPr>
  </w:style>
  <w:style w:type="paragraph" w:styleId="Heading4">
    <w:name w:val="heading 4"/>
    <w:link w:val="Heading4Char"/>
    <w:uiPriority w:val="9"/>
    <w:rsid w:val="00BC69FD"/>
    <w:pPr>
      <w:keepNext/>
      <w:spacing w:before="240" w:after="120"/>
      <w:outlineLvl w:val="3"/>
    </w:pPr>
    <w:rPr>
      <w:rFonts w:ascii="Arial" w:hAnsi="Arial" w:cs="Arial"/>
      <w:b/>
      <w:bCs/>
      <w:sz w:val="26"/>
      <w:szCs w:val="26"/>
      <w:lang w:eastAsia="en-AU"/>
    </w:rPr>
  </w:style>
  <w:style w:type="paragraph" w:styleId="Heading5">
    <w:name w:val="heading 5"/>
    <w:basedOn w:val="Normal"/>
    <w:qFormat/>
    <w:rsid w:val="00495930"/>
    <w:pPr>
      <w:spacing w:before="240"/>
      <w:outlineLvl w:val="4"/>
    </w:pPr>
    <w:rPr>
      <w:b/>
    </w:rPr>
  </w:style>
  <w:style w:type="paragraph" w:styleId="Heading6">
    <w:name w:val="heading 6"/>
    <w:basedOn w:val="Heading4"/>
    <w:next w:val="Normal"/>
    <w:qFormat/>
    <w:rsid w:val="009E646C"/>
    <w:pPr>
      <w:pBdr>
        <w:top w:val="single" w:sz="24" w:space="5" w:color="D7EFF5"/>
        <w:left w:val="single" w:sz="24" w:space="5" w:color="D7EFF5"/>
        <w:bottom w:val="single" w:sz="24" w:space="5" w:color="D7EFF5"/>
        <w:right w:val="single" w:sz="24" w:space="5" w:color="D7EFF5"/>
      </w:pBdr>
      <w:shd w:val="clear" w:color="auto" w:fill="D7EFF5"/>
      <w:spacing w:before="160" w:line="240" w:lineRule="atLeast"/>
      <w:ind w:right="454"/>
      <w:outlineLvl w:val="5"/>
    </w:pPr>
    <w:rPr>
      <w:rFonts w:cs="Times New Roman"/>
      <w:sz w:val="22"/>
      <w:lang w:eastAsia="en-US"/>
    </w:rPr>
  </w:style>
  <w:style w:type="paragraph" w:styleId="Heading7">
    <w:name w:val="heading 7"/>
    <w:basedOn w:val="Heading6"/>
    <w:next w:val="Normal"/>
    <w:qFormat/>
    <w:rsid w:val="007E76DB"/>
    <w:pPr>
      <w:ind w:left="1296" w:hanging="1296"/>
      <w:outlineLvl w:val="6"/>
    </w:pPr>
  </w:style>
  <w:style w:type="paragraph" w:styleId="Heading8">
    <w:name w:val="heading 8"/>
    <w:basedOn w:val="Heading7"/>
    <w:next w:val="Normal"/>
    <w:qFormat/>
    <w:rsid w:val="007E76DB"/>
    <w:pPr>
      <w:ind w:left="1440" w:hanging="1440"/>
      <w:outlineLvl w:val="7"/>
    </w:pPr>
  </w:style>
  <w:style w:type="paragraph" w:styleId="Heading9">
    <w:name w:val="heading 9"/>
    <w:basedOn w:val="Heading8"/>
    <w:next w:val="Normal"/>
    <w:qFormat/>
    <w:rsid w:val="007E76DB"/>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numPr>
        <w:numId w:val="14"/>
      </w:numPr>
      <w:spacing w:after="120" w:line="300" w:lineRule="atLeast"/>
    </w:pPr>
    <w:rPr>
      <w:rFonts w:ascii="Arial" w:hAnsi="Arial"/>
      <w:sz w:val="22"/>
      <w:szCs w:val="24"/>
      <w:lang w:eastAsia="en-US"/>
    </w:rPr>
  </w:style>
  <w:style w:type="paragraph" w:styleId="ListBullet">
    <w:name w:val="List Bullet"/>
    <w:uiPriority w:val="6"/>
    <w:qFormat/>
    <w:rsid w:val="007E76DB"/>
    <w:pPr>
      <w:tabs>
        <w:tab w:val="num" w:pos="714"/>
      </w:tabs>
      <w:spacing w:after="120" w:line="300" w:lineRule="atLeast"/>
      <w:ind w:left="714" w:hanging="357"/>
    </w:pPr>
    <w:rPr>
      <w:rFonts w:ascii="Arial" w:hAnsi="Arial"/>
      <w:sz w:val="22"/>
      <w:szCs w:val="24"/>
      <w:lang w:eastAsia="en-US"/>
    </w:rPr>
  </w:style>
  <w:style w:type="paragraph" w:styleId="ListBullet2">
    <w:name w:val="List Bullet 2"/>
    <w:uiPriority w:val="7"/>
    <w:qFormat/>
    <w:rsid w:val="007E76DB"/>
    <w:pPr>
      <w:numPr>
        <w:ilvl w:val="1"/>
        <w:numId w:val="1"/>
      </w:numPr>
      <w:spacing w:after="120" w:line="300" w:lineRule="atLeast"/>
    </w:pPr>
    <w:rPr>
      <w:rFonts w:ascii="Arial" w:hAnsi="Arial"/>
      <w:sz w:val="22"/>
      <w:szCs w:val="24"/>
      <w:lang w:eastAsia="en-US"/>
    </w:rPr>
  </w:style>
  <w:style w:type="paragraph" w:styleId="ListBullet3">
    <w:name w:val="List Bullet 3"/>
    <w:uiPriority w:val="8"/>
    <w:qFormat/>
    <w:rsid w:val="007E76DB"/>
    <w:pPr>
      <w:spacing w:after="120" w:line="300" w:lineRule="atLeast"/>
      <w:ind w:left="720" w:hanging="360"/>
    </w:pPr>
    <w:rPr>
      <w:rFonts w:ascii="Arial" w:hAnsi="Arial"/>
      <w:sz w:val="22"/>
      <w:szCs w:val="24"/>
      <w:lang w:eastAsia="en-US"/>
    </w:rPr>
  </w:style>
  <w:style w:type="paragraph" w:customStyle="1" w:styleId="VLA1">
    <w:name w:val="VLA 1."/>
    <w:aliases w:val="2.,3."/>
    <w:uiPriority w:val="3"/>
    <w:qFormat/>
    <w:rsid w:val="007E76DB"/>
    <w:pPr>
      <w:numPr>
        <w:numId w:val="2"/>
      </w:numPr>
      <w:spacing w:after="120" w:line="300" w:lineRule="atLeast"/>
    </w:pPr>
    <w:rPr>
      <w:rFonts w:ascii="Arial" w:hAnsi="Arial"/>
      <w:sz w:val="22"/>
      <w:szCs w:val="24"/>
      <w:lang w:eastAsia="en-US"/>
    </w:rPr>
  </w:style>
  <w:style w:type="paragraph" w:customStyle="1" w:styleId="VLAa">
    <w:name w:val="VLA a."/>
    <w:aliases w:val="b.,c."/>
    <w:uiPriority w:val="4"/>
    <w:rsid w:val="007E76DB"/>
    <w:pPr>
      <w:numPr>
        <w:ilvl w:val="1"/>
        <w:numId w:val="2"/>
      </w:numPr>
      <w:tabs>
        <w:tab w:val="clear" w:pos="714"/>
        <w:tab w:val="num" w:pos="360"/>
      </w:tabs>
      <w:spacing w:after="120" w:line="300" w:lineRule="atLeast"/>
      <w:ind w:left="0" w:firstLine="0"/>
    </w:pPr>
    <w:rPr>
      <w:rFonts w:ascii="Arial" w:hAnsi="Arial"/>
      <w:sz w:val="22"/>
      <w:szCs w:val="24"/>
      <w:lang w:eastAsia="en-US"/>
    </w:rPr>
  </w:style>
  <w:style w:type="paragraph" w:customStyle="1" w:styleId="VLAi">
    <w:name w:val="VLA i."/>
    <w:aliases w:val="ii.,iii."/>
    <w:rsid w:val="007E76DB"/>
    <w:pPr>
      <w:numPr>
        <w:ilvl w:val="2"/>
        <w:numId w:val="2"/>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ootnote Text Char1,FN"/>
    <w:basedOn w:val="Normal"/>
    <w:link w:val="FootnoteTextChar"/>
    <w:uiPriority w:val="99"/>
    <w:qFormat/>
    <w:rsid w:val="006759A6"/>
    <w:pPr>
      <w:spacing w:before="40" w:after="0" w:line="240" w:lineRule="auto"/>
    </w:pPr>
    <w:rPr>
      <w:rFonts w:cs="Arial"/>
      <w:sz w:val="16"/>
      <w:szCs w:val="16"/>
    </w:rPr>
  </w:style>
  <w:style w:type="paragraph" w:styleId="Header">
    <w:name w:val="header"/>
    <w:rsid w:val="00E47E64"/>
    <w:pPr>
      <w:pBdr>
        <w:bottom w:val="single" w:sz="4" w:space="1" w:color="216E96"/>
      </w:pBdr>
      <w:tabs>
        <w:tab w:val="center" w:pos="4604"/>
        <w:tab w:val="right" w:pos="9214"/>
      </w:tabs>
      <w:spacing w:line="240" w:lineRule="atLeast"/>
    </w:pPr>
    <w:rPr>
      <w:rFonts w:ascii="Arial" w:hAnsi="Arial"/>
      <w:sz w:val="22"/>
      <w:szCs w:val="24"/>
      <w:lang w:eastAsia="en-US"/>
    </w:rPr>
  </w:style>
  <w:style w:type="paragraph" w:styleId="TOC4">
    <w:name w:val="toc 4"/>
    <w:basedOn w:val="Normal"/>
    <w:next w:val="Normal"/>
    <w:autoRedefine/>
    <w:uiPriority w:val="39"/>
    <w:rsid w:val="00BF732F"/>
    <w:pPr>
      <w:spacing w:after="100"/>
      <w:ind w:left="660"/>
    </w:pPr>
  </w:style>
  <w:style w:type="character" w:styleId="Hyperlink">
    <w:name w:val="Hyperlink"/>
    <w:uiPriority w:val="99"/>
    <w:rsid w:val="007E76DB"/>
    <w:rPr>
      <w:rFonts w:ascii="Arial" w:hAnsi="Arial"/>
      <w:color w:val="0000FF"/>
      <w:u w:val="single"/>
      <w:lang w:val="en-AU"/>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B2605C"/>
    <w:pPr>
      <w:tabs>
        <w:tab w:val="right" w:pos="9790"/>
      </w:tabs>
      <w:spacing w:before="80"/>
      <w:ind w:left="567" w:right="760" w:hanging="567"/>
    </w:pPr>
    <w:rPr>
      <w:rFonts w:ascii="Arial" w:hAnsi="Arial"/>
      <w:b/>
      <w:sz w:val="22"/>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character" w:styleId="FollowedHyperlink">
    <w:name w:val="FollowedHyperlink"/>
    <w:basedOn w:val="DefaultParagraphFont"/>
    <w:rsid w:val="00E47E64"/>
    <w:rPr>
      <w:color w:val="954F72" w:themeColor="followedHyperlink"/>
      <w:u w:val="single"/>
    </w:rPr>
  </w:style>
  <w:style w:type="paragraph" w:customStyle="1" w:styleId="VLAsubtitle">
    <w:name w:val="VLA subtitle"/>
    <w:basedOn w:val="Normal"/>
    <w:rsid w:val="007E76DB"/>
    <w:pPr>
      <w:spacing w:before="240" w:after="240" w:line="240" w:lineRule="atLeast"/>
    </w:pPr>
    <w:rPr>
      <w:b/>
      <w:bCs/>
      <w:sz w:val="28"/>
      <w:szCs w:val="28"/>
    </w:rPr>
  </w:style>
  <w:style w:type="character" w:customStyle="1" w:styleId="apple-converted-space">
    <w:name w:val="apple-converted-space"/>
    <w:basedOn w:val="DefaultParagraphFont"/>
    <w:rsid w:val="002E7D6F"/>
  </w:style>
  <w:style w:type="paragraph" w:styleId="NormalWeb">
    <w:name w:val="Normal (Web)"/>
    <w:basedOn w:val="Normal"/>
    <w:rsid w:val="002E7D6F"/>
    <w:rPr>
      <w:rFonts w:ascii="Times New Roman" w:hAnsi="Times New Roman"/>
      <w:sz w:val="24"/>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link w:val="ftref"/>
    <w:qFormat/>
    <w:rsid w:val="007E76DB"/>
    <w:rPr>
      <w:rFonts w:ascii="Arial" w:hAnsi="Arial"/>
      <w:sz w:val="18"/>
      <w:vertAlign w:val="superscript"/>
    </w:rPr>
  </w:style>
  <w:style w:type="paragraph" w:customStyle="1" w:styleId="Filename">
    <w:name w:val="Filename"/>
    <w:basedOn w:val="Normal"/>
    <w:rsid w:val="00DC023F"/>
    <w:pPr>
      <w:pBdr>
        <w:top w:val="single" w:sz="4" w:space="4" w:color="216E96"/>
      </w:pBdr>
      <w:tabs>
        <w:tab w:val="right" w:pos="9240"/>
      </w:tabs>
      <w:spacing w:before="80"/>
    </w:pPr>
    <w:rPr>
      <w:sz w:val="18"/>
    </w:rPr>
  </w:style>
  <w:style w:type="paragraph" w:styleId="TOC2">
    <w:name w:val="toc 2"/>
    <w:basedOn w:val="Normal"/>
    <w:next w:val="Normal"/>
    <w:uiPriority w:val="39"/>
    <w:rsid w:val="0088333C"/>
    <w:pPr>
      <w:tabs>
        <w:tab w:val="left" w:pos="1134"/>
        <w:tab w:val="left" w:pos="2878"/>
        <w:tab w:val="right" w:pos="9790"/>
      </w:tabs>
      <w:spacing w:before="40" w:after="40" w:line="220" w:lineRule="atLeast"/>
      <w:ind w:left="1134" w:hanging="567"/>
    </w:pPr>
    <w:rPr>
      <w:noProof/>
    </w:rPr>
  </w:style>
  <w:style w:type="paragraph" w:styleId="TOC3">
    <w:name w:val="toc 3"/>
    <w:basedOn w:val="Normal"/>
    <w:next w:val="Normal"/>
    <w:uiPriority w:val="39"/>
    <w:rsid w:val="00BF732F"/>
    <w:pPr>
      <w:tabs>
        <w:tab w:val="right" w:pos="9790"/>
      </w:tabs>
      <w:spacing w:before="60" w:after="60"/>
      <w:ind w:left="550" w:right="760"/>
    </w:pPr>
    <w:rPr>
      <w:noProof/>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outlinebox">
    <w:name w:val="Normal outline box"/>
    <w:basedOn w:val="Normal"/>
    <w:qFormat/>
    <w:rsid w:val="00E346AE"/>
    <w:pPr>
      <w:pBdr>
        <w:top w:val="single" w:sz="8" w:space="7" w:color="0098CB"/>
        <w:left w:val="single" w:sz="8" w:space="7" w:color="0098CB"/>
        <w:bottom w:val="single" w:sz="8" w:space="7" w:color="0098CB"/>
        <w:right w:val="single" w:sz="8" w:space="7" w:color="0098CB"/>
      </w:pBdr>
      <w:spacing w:before="160"/>
      <w:ind w:left="454" w:right="454"/>
    </w:pPr>
  </w:style>
  <w:style w:type="paragraph" w:styleId="NoteHeading">
    <w:name w:val="Note Heading"/>
    <w:basedOn w:val="Normal"/>
    <w:next w:val="Normal"/>
    <w:link w:val="NoteHeadingChar"/>
    <w:rsid w:val="00E346AE"/>
    <w:pPr>
      <w:pBdr>
        <w:top w:val="single" w:sz="8" w:space="1" w:color="0098CB"/>
        <w:left w:val="single" w:sz="8" w:space="4" w:color="0098CB"/>
        <w:bottom w:val="single" w:sz="8" w:space="1" w:color="0098CB"/>
        <w:right w:val="single" w:sz="8" w:space="4" w:color="0098CB"/>
      </w:pBdr>
      <w:spacing w:after="0" w:line="240" w:lineRule="auto"/>
    </w:pPr>
  </w:style>
  <w:style w:type="paragraph" w:customStyle="1" w:styleId="Recommendationheading">
    <w:name w:val="Recommendation heading"/>
    <w:basedOn w:val="Normal"/>
    <w:next w:val="Normal"/>
    <w:qFormat/>
    <w:rsid w:val="00D63E89"/>
    <w:pPr>
      <w:keepNext/>
      <w:numPr>
        <w:numId w:val="10"/>
      </w:numPr>
      <w:pBdr>
        <w:top w:val="single" w:sz="24" w:space="5" w:color="D7EFF5"/>
        <w:left w:val="single" w:sz="24" w:space="5" w:color="D7EFF5"/>
        <w:bottom w:val="single" w:sz="24" w:space="5" w:color="D7EFF5"/>
        <w:right w:val="single" w:sz="24" w:space="5" w:color="D7EFF5"/>
      </w:pBdr>
      <w:shd w:val="clear" w:color="auto" w:fill="DEEAF6" w:themeFill="accent5" w:themeFillTint="33"/>
      <w:spacing w:before="160" w:after="80" w:line="260" w:lineRule="atLeast"/>
      <w:ind w:left="2693" w:right="113" w:hanging="2336"/>
    </w:pPr>
    <w:rPr>
      <w:b/>
      <w:bCs/>
    </w:rPr>
  </w:style>
  <w:style w:type="paragraph" w:customStyle="1" w:styleId="toc6000">
    <w:name w:val="toc 6000"/>
    <w:basedOn w:val="TOC2"/>
    <w:next w:val="Normal"/>
    <w:autoRedefine/>
    <w:uiPriority w:val="39"/>
    <w:unhideWhenUsed/>
    <w:rsid w:val="007D2FFE"/>
    <w:pPr>
      <w:tabs>
        <w:tab w:val="left" w:pos="2424"/>
      </w:tabs>
      <w:ind w:left="2424" w:hanging="2311"/>
    </w:pPr>
  </w:style>
  <w:style w:type="paragraph" w:customStyle="1" w:styleId="Listbulletcoloured">
    <w:name w:val="List bullet coloured"/>
    <w:basedOn w:val="ListBullet"/>
    <w:qFormat/>
    <w:rsid w:val="00904F90"/>
    <w:pPr>
      <w:numPr>
        <w:numId w:val="8"/>
      </w:numPr>
      <w:ind w:left="709" w:hanging="369"/>
    </w:pPr>
    <w:rPr>
      <w:lang w:eastAsia="en-AU"/>
    </w:rPr>
  </w:style>
  <w:style w:type="character" w:customStyle="1" w:styleId="NoteHeadingChar">
    <w:name w:val="Note Heading Char"/>
    <w:basedOn w:val="DefaultParagraphFont"/>
    <w:link w:val="NoteHeading"/>
    <w:rsid w:val="00E346AE"/>
    <w:rPr>
      <w:rFonts w:ascii="Arial" w:hAnsi="Arial"/>
      <w:sz w:val="22"/>
      <w:szCs w:val="24"/>
      <w:lang w:eastAsia="en-US"/>
    </w:rPr>
  </w:style>
  <w:style w:type="character" w:customStyle="1" w:styleId="Heading4Char">
    <w:name w:val="Heading 4 Char"/>
    <w:basedOn w:val="DefaultParagraphFont"/>
    <w:link w:val="Heading4"/>
    <w:uiPriority w:val="9"/>
    <w:rsid w:val="009D2382"/>
    <w:rPr>
      <w:rFonts w:ascii="Arial" w:hAnsi="Arial" w:cs="Arial"/>
      <w:b/>
      <w:bCs/>
      <w:sz w:val="26"/>
      <w:szCs w:val="26"/>
      <w:lang w:eastAsia="en-AU"/>
    </w:rPr>
  </w:style>
  <w:style w:type="table" w:styleId="GridTable1Light-Accent1">
    <w:name w:val="Grid Table 1 Light Accent 1"/>
    <w:basedOn w:val="TableNormal"/>
    <w:uiPriority w:val="46"/>
    <w:rsid w:val="009155F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155F9"/>
    <w:pPr>
      <w:tabs>
        <w:tab w:val="num" w:pos="510"/>
      </w:tabs>
      <w:ind w:left="510" w:hanging="17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155F9"/>
    <w:pPr>
      <w:tabs>
        <w:tab w:val="num" w:pos="680"/>
      </w:tabs>
      <w:ind w:left="680" w:hanging="17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155F9"/>
    <w:pPr>
      <w:tabs>
        <w:tab w:val="num" w:pos="851"/>
      </w:tabs>
      <w:ind w:left="851" w:hanging="171"/>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copy">
    <w:name w:val="Table copy"/>
    <w:basedOn w:val="Normal"/>
    <w:qFormat/>
    <w:rsid w:val="0036656F"/>
    <w:pPr>
      <w:spacing w:line="280" w:lineRule="atLeast"/>
    </w:pPr>
    <w:rPr>
      <w:sz w:val="20"/>
      <w:szCs w:val="20"/>
    </w:rPr>
  </w:style>
  <w:style w:type="paragraph" w:customStyle="1" w:styleId="Tableheading">
    <w:name w:val="Table heading"/>
    <w:basedOn w:val="Normal"/>
    <w:qFormat/>
    <w:rsid w:val="00C95CC7"/>
    <w:pPr>
      <w:spacing w:before="40"/>
    </w:pPr>
    <w:rPr>
      <w:bCs/>
      <w:sz w:val="20"/>
      <w:szCs w:val="20"/>
    </w:rPr>
  </w:style>
  <w:style w:type="paragraph" w:styleId="TableofAuthorities">
    <w:name w:val="table of authorities"/>
    <w:basedOn w:val="Normal"/>
    <w:next w:val="Normal"/>
    <w:rsid w:val="00286BAC"/>
    <w:pPr>
      <w:spacing w:after="0"/>
      <w:ind w:left="220" w:hanging="220"/>
    </w:pPr>
  </w:style>
  <w:style w:type="paragraph" w:styleId="TableofFigures">
    <w:name w:val="table of figures"/>
    <w:basedOn w:val="Normal"/>
    <w:next w:val="Normal"/>
    <w:rsid w:val="00286BAC"/>
    <w:pPr>
      <w:spacing w:after="0"/>
    </w:pPr>
  </w:style>
  <w:style w:type="paragraph" w:styleId="ListNumber">
    <w:name w:val="List Number"/>
    <w:basedOn w:val="Normal"/>
    <w:rsid w:val="00DA0C0C"/>
    <w:pPr>
      <w:numPr>
        <w:numId w:val="3"/>
      </w:numPr>
      <w:contextualSpacing/>
    </w:pPr>
    <w:rPr>
      <w:b/>
    </w:rPr>
  </w:style>
  <w:style w:type="paragraph" w:styleId="ListNumber2">
    <w:name w:val="List Number 2"/>
    <w:basedOn w:val="Normal"/>
    <w:rsid w:val="00DA0C0C"/>
    <w:pPr>
      <w:numPr>
        <w:numId w:val="4"/>
      </w:numPr>
      <w:contextualSpacing/>
    </w:pPr>
  </w:style>
  <w:style w:type="paragraph" w:styleId="ListNumber3">
    <w:name w:val="List Number 3"/>
    <w:basedOn w:val="Normal"/>
    <w:rsid w:val="00DA0C0C"/>
    <w:pPr>
      <w:numPr>
        <w:numId w:val="5"/>
      </w:numPr>
      <w:contextualSpacing/>
    </w:pPr>
  </w:style>
  <w:style w:type="paragraph" w:styleId="ListNumber4">
    <w:name w:val="List Number 4"/>
    <w:basedOn w:val="Normal"/>
    <w:rsid w:val="00DA0C0C"/>
    <w:pPr>
      <w:numPr>
        <w:numId w:val="6"/>
      </w:numPr>
      <w:contextualSpacing/>
    </w:pPr>
  </w:style>
  <w:style w:type="paragraph" w:styleId="ListNumber5">
    <w:name w:val="List Number 5"/>
    <w:basedOn w:val="Normal"/>
    <w:rsid w:val="00DA0C0C"/>
    <w:pPr>
      <w:numPr>
        <w:numId w:val="7"/>
      </w:numPr>
      <w:contextualSpacing/>
    </w:pPr>
  </w:style>
  <w:style w:type="paragraph" w:customStyle="1" w:styleId="Coverpageheading">
    <w:name w:val="Cover page heading"/>
    <w:basedOn w:val="Heading1"/>
    <w:qFormat/>
    <w:rsid w:val="00BC0343"/>
    <w:pPr>
      <w:numPr>
        <w:numId w:val="0"/>
      </w:numPr>
      <w:spacing w:before="9400" w:after="240"/>
    </w:pPr>
    <w:rPr>
      <w:sz w:val="44"/>
      <w:szCs w:val="44"/>
    </w:rPr>
  </w:style>
  <w:style w:type="paragraph" w:customStyle="1" w:styleId="Coverpagesubheading">
    <w:name w:val="Cover page subheading"/>
    <w:basedOn w:val="Normal"/>
    <w:qFormat/>
    <w:rsid w:val="00BC0343"/>
    <w:pPr>
      <w:spacing w:before="240" w:after="360" w:line="400" w:lineRule="atLeast"/>
    </w:pPr>
    <w:rPr>
      <w:color w:val="009DBD"/>
      <w:sz w:val="36"/>
      <w:szCs w:val="36"/>
      <w:lang w:eastAsia="en-AU"/>
    </w:rPr>
  </w:style>
  <w:style w:type="character" w:styleId="UnresolvedMention">
    <w:name w:val="Unresolved Mention"/>
    <w:basedOn w:val="DefaultParagraphFont"/>
    <w:uiPriority w:val="99"/>
    <w:unhideWhenUsed/>
    <w:rsid w:val="00E47E64"/>
    <w:rPr>
      <w:color w:val="605E5C"/>
      <w:shd w:val="clear" w:color="auto" w:fill="E1DFDD"/>
    </w:rPr>
  </w:style>
  <w:style w:type="paragraph" w:styleId="PlainText">
    <w:name w:val="Plain Text"/>
    <w:basedOn w:val="Normal"/>
    <w:link w:val="PlainTextChar"/>
    <w:uiPriority w:val="99"/>
    <w:unhideWhenUsed/>
    <w:rsid w:val="008C554E"/>
    <w:pPr>
      <w:spacing w:after="0" w:line="240" w:lineRule="auto"/>
    </w:pPr>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8C554E"/>
    <w:rPr>
      <w:rFonts w:ascii="Consolas" w:eastAsiaTheme="minorHAnsi" w:hAnsi="Consolas" w:cs="Consolas"/>
      <w:sz w:val="21"/>
      <w:szCs w:val="21"/>
      <w:lang w:val="en-GB" w:eastAsia="en-US"/>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uiPriority w:val="99"/>
    <w:rsid w:val="00CA322D"/>
    <w:rPr>
      <w:rFonts w:ascii="Arial" w:hAnsi="Arial" w:cs="Arial"/>
      <w:sz w:val="16"/>
      <w:szCs w:val="16"/>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Numbered paragraph,Recommendation,numbered,列出段,列出段落,列出段落1"/>
    <w:basedOn w:val="Normal"/>
    <w:link w:val="ListParagraphChar"/>
    <w:uiPriority w:val="34"/>
    <w:qFormat/>
    <w:rsid w:val="00CA322D"/>
    <w:pPr>
      <w:ind w:left="720"/>
      <w:contextualSpacing/>
    </w:pPr>
  </w:style>
  <w:style w:type="character" w:styleId="CommentReference">
    <w:name w:val="annotation reference"/>
    <w:basedOn w:val="DefaultParagraphFont"/>
    <w:uiPriority w:val="99"/>
    <w:rsid w:val="001B2F09"/>
    <w:rPr>
      <w:sz w:val="16"/>
      <w:szCs w:val="16"/>
    </w:rPr>
  </w:style>
  <w:style w:type="paragraph" w:styleId="CommentText">
    <w:name w:val="annotation text"/>
    <w:basedOn w:val="Normal"/>
    <w:link w:val="CommentTextChar"/>
    <w:uiPriority w:val="99"/>
    <w:rsid w:val="001B2F09"/>
    <w:pPr>
      <w:spacing w:line="240" w:lineRule="auto"/>
    </w:pPr>
    <w:rPr>
      <w:sz w:val="20"/>
      <w:szCs w:val="20"/>
    </w:rPr>
  </w:style>
  <w:style w:type="character" w:customStyle="1" w:styleId="CommentTextChar">
    <w:name w:val="Comment Text Char"/>
    <w:basedOn w:val="DefaultParagraphFont"/>
    <w:link w:val="CommentText"/>
    <w:uiPriority w:val="99"/>
    <w:rsid w:val="001B2F09"/>
    <w:rPr>
      <w:rFonts w:ascii="Arial" w:hAnsi="Arial"/>
      <w:lang w:eastAsia="en-US"/>
    </w:rPr>
  </w:style>
  <w:style w:type="paragraph" w:styleId="CommentSubject">
    <w:name w:val="annotation subject"/>
    <w:basedOn w:val="CommentText"/>
    <w:next w:val="CommentText"/>
    <w:link w:val="CommentSubjectChar"/>
    <w:rsid w:val="001B2F09"/>
    <w:rPr>
      <w:b/>
      <w:bCs/>
    </w:rPr>
  </w:style>
  <w:style w:type="character" w:customStyle="1" w:styleId="CommentSubjectChar">
    <w:name w:val="Comment Subject Char"/>
    <w:basedOn w:val="CommentTextChar"/>
    <w:link w:val="CommentSubject"/>
    <w:rsid w:val="001B2F09"/>
    <w:rPr>
      <w:rFonts w:ascii="Arial" w:hAnsi="Arial"/>
      <w:b/>
      <w:bCs/>
      <w:lang w:eastAsia="en-US"/>
    </w:rPr>
  </w:style>
  <w:style w:type="paragraph" w:styleId="BalloonText">
    <w:name w:val="Balloon Text"/>
    <w:basedOn w:val="Normal"/>
    <w:link w:val="BalloonTextChar"/>
    <w:rsid w:val="001B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B2F09"/>
    <w:rPr>
      <w:rFonts w:ascii="Segoe UI" w:hAnsi="Segoe UI" w:cs="Segoe UI"/>
      <w:sz w:val="18"/>
      <w:szCs w:val="18"/>
      <w:lang w:eastAsia="en-US"/>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7E2FEB"/>
    <w:rPr>
      <w:rFonts w:ascii="Arial" w:hAnsi="Arial"/>
      <w:sz w:val="22"/>
      <w:szCs w:val="24"/>
      <w:lang w:eastAsia="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rsid w:val="007E2FEB"/>
    <w:pPr>
      <w:spacing w:after="160" w:line="240" w:lineRule="exact"/>
      <w:ind w:firstLine="360"/>
      <w:jc w:val="both"/>
    </w:pPr>
    <w:rPr>
      <w:sz w:val="18"/>
      <w:szCs w:val="20"/>
      <w:vertAlign w:val="superscript"/>
      <w:lang w:eastAsia="en-GB"/>
    </w:rPr>
  </w:style>
  <w:style w:type="paragraph" w:styleId="TOCHeading">
    <w:name w:val="TOC Heading"/>
    <w:basedOn w:val="Heading1"/>
    <w:next w:val="Normal"/>
    <w:uiPriority w:val="39"/>
    <w:unhideWhenUsed/>
    <w:qFormat/>
    <w:rsid w:val="00DD6200"/>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paragraph">
    <w:name w:val="paragraph"/>
    <w:basedOn w:val="Normal"/>
    <w:rsid w:val="00DB38B3"/>
    <w:pPr>
      <w:spacing w:after="0" w:line="240" w:lineRule="auto"/>
    </w:pPr>
    <w:rPr>
      <w:rFonts w:ascii="Times New Roman" w:hAnsi="Times New Roman"/>
      <w:sz w:val="24"/>
      <w:lang w:eastAsia="en-AU"/>
    </w:rPr>
  </w:style>
  <w:style w:type="character" w:customStyle="1" w:styleId="normaltextrun1">
    <w:name w:val="normaltextrun1"/>
    <w:basedOn w:val="DefaultParagraphFont"/>
    <w:rsid w:val="00DB38B3"/>
  </w:style>
  <w:style w:type="paragraph" w:styleId="EndnoteText">
    <w:name w:val="endnote text"/>
    <w:basedOn w:val="Normal"/>
    <w:link w:val="EndnoteTextChar"/>
    <w:rsid w:val="00CE600E"/>
    <w:pPr>
      <w:spacing w:after="0" w:line="240" w:lineRule="auto"/>
    </w:pPr>
    <w:rPr>
      <w:sz w:val="20"/>
      <w:szCs w:val="20"/>
    </w:rPr>
  </w:style>
  <w:style w:type="character" w:customStyle="1" w:styleId="EndnoteTextChar">
    <w:name w:val="Endnote Text Char"/>
    <w:basedOn w:val="DefaultParagraphFont"/>
    <w:link w:val="EndnoteText"/>
    <w:rsid w:val="00CE600E"/>
    <w:rPr>
      <w:rFonts w:ascii="Arial" w:hAnsi="Arial"/>
      <w:lang w:eastAsia="en-US"/>
    </w:rPr>
  </w:style>
  <w:style w:type="character" w:styleId="EndnoteReference">
    <w:name w:val="endnote reference"/>
    <w:basedOn w:val="DefaultParagraphFont"/>
    <w:rsid w:val="00CE600E"/>
    <w:rPr>
      <w:vertAlign w:val="superscript"/>
    </w:rPr>
  </w:style>
  <w:style w:type="paragraph" w:customStyle="1" w:styleId="Default">
    <w:name w:val="Default"/>
    <w:rsid w:val="0042468A"/>
    <w:pPr>
      <w:autoSpaceDE w:val="0"/>
      <w:autoSpaceDN w:val="0"/>
      <w:adjustRightInd w:val="0"/>
    </w:pPr>
    <w:rPr>
      <w:rFonts w:eastAsiaTheme="minorHAnsi"/>
      <w:color w:val="000000"/>
      <w:sz w:val="24"/>
      <w:szCs w:val="24"/>
      <w:lang w:eastAsia="en-US"/>
    </w:rPr>
  </w:style>
  <w:style w:type="paragraph" w:styleId="Quote">
    <w:name w:val="Quote"/>
    <w:basedOn w:val="Normal"/>
    <w:next w:val="Normal"/>
    <w:link w:val="QuoteChar"/>
    <w:uiPriority w:val="29"/>
    <w:qFormat/>
    <w:rsid w:val="00CC4B20"/>
    <w:pPr>
      <w:ind w:left="567"/>
    </w:pPr>
  </w:style>
  <w:style w:type="character" w:customStyle="1" w:styleId="QuoteChar">
    <w:name w:val="Quote Char"/>
    <w:basedOn w:val="DefaultParagraphFont"/>
    <w:link w:val="Quote"/>
    <w:uiPriority w:val="29"/>
    <w:rsid w:val="00972C86"/>
    <w:rPr>
      <w:rFonts w:ascii="Arial" w:hAnsi="Arial"/>
      <w:sz w:val="22"/>
      <w:szCs w:val="24"/>
      <w:lang w:eastAsia="en-US"/>
    </w:rPr>
  </w:style>
  <w:style w:type="paragraph" w:styleId="NoSpacing">
    <w:name w:val="No Spacing"/>
    <w:aliases w:val="Recommendation no"/>
    <w:basedOn w:val="Normal"/>
    <w:next w:val="List2"/>
    <w:uiPriority w:val="1"/>
    <w:rsid w:val="009F66AD"/>
    <w:pPr>
      <w:pBdr>
        <w:top w:val="single" w:sz="24" w:space="5" w:color="D7EFF5"/>
        <w:left w:val="single" w:sz="24" w:space="5" w:color="D7EFF5"/>
        <w:bottom w:val="single" w:sz="24" w:space="5" w:color="D7EFF5"/>
        <w:right w:val="single" w:sz="24" w:space="5" w:color="D7EFF5"/>
      </w:pBdr>
      <w:shd w:val="clear" w:color="auto" w:fill="D7EFF5"/>
      <w:spacing w:before="160"/>
      <w:ind w:left="454" w:right="454"/>
    </w:pPr>
    <w:rPr>
      <w:b/>
      <w:bCs/>
    </w:rPr>
  </w:style>
  <w:style w:type="character" w:styleId="Mention">
    <w:name w:val="Mention"/>
    <w:basedOn w:val="DefaultParagraphFont"/>
    <w:uiPriority w:val="99"/>
    <w:unhideWhenUsed/>
    <w:rsid w:val="004E0D37"/>
    <w:rPr>
      <w:color w:val="2B579A"/>
      <w:shd w:val="clear" w:color="auto" w:fill="E6E6E6"/>
    </w:rPr>
  </w:style>
  <w:style w:type="character" w:customStyle="1" w:styleId="Superscript">
    <w:name w:val="Superscript"/>
    <w:uiPriority w:val="99"/>
    <w:rsid w:val="00584413"/>
    <w:rPr>
      <w:vertAlign w:val="superscript"/>
    </w:rPr>
  </w:style>
  <w:style w:type="character" w:customStyle="1" w:styleId="normaltextrun">
    <w:name w:val="normaltextrun"/>
    <w:basedOn w:val="DefaultParagraphFont"/>
    <w:rsid w:val="00EF532E"/>
  </w:style>
  <w:style w:type="character" w:customStyle="1" w:styleId="footnotemark">
    <w:name w:val="footnote mark"/>
    <w:hidden/>
    <w:rsid w:val="00A32EAE"/>
    <w:rPr>
      <w:rFonts w:ascii="Arial" w:eastAsia="Arial" w:hAnsi="Arial" w:cs="Arial"/>
      <w:color w:val="000000"/>
      <w:sz w:val="16"/>
      <w:vertAlign w:val="superscript"/>
    </w:rPr>
  </w:style>
  <w:style w:type="paragraph" w:customStyle="1" w:styleId="footnotedescription">
    <w:name w:val="footnote description"/>
    <w:next w:val="Normal"/>
    <w:link w:val="footnotedescriptionChar"/>
    <w:hidden/>
    <w:rsid w:val="00717391"/>
    <w:pPr>
      <w:spacing w:after="24" w:line="259" w:lineRule="auto"/>
    </w:pPr>
    <w:rPr>
      <w:rFonts w:ascii="Arial" w:eastAsia="Arial" w:hAnsi="Arial" w:cs="Arial"/>
      <w:color w:val="000000"/>
      <w:sz w:val="16"/>
      <w:szCs w:val="22"/>
      <w:lang w:eastAsia="en-AU"/>
    </w:rPr>
  </w:style>
  <w:style w:type="character" w:customStyle="1" w:styleId="footnotedescriptionChar">
    <w:name w:val="footnote description Char"/>
    <w:link w:val="footnotedescription"/>
    <w:rsid w:val="00717391"/>
    <w:rPr>
      <w:rFonts w:ascii="Arial" w:eastAsia="Arial" w:hAnsi="Arial" w:cs="Arial"/>
      <w:color w:val="000000"/>
      <w:sz w:val="16"/>
      <w:szCs w:val="22"/>
      <w:lang w:eastAsia="en-AU"/>
    </w:rPr>
  </w:style>
  <w:style w:type="paragraph" w:styleId="Revision">
    <w:name w:val="Revision"/>
    <w:hidden/>
    <w:uiPriority w:val="99"/>
    <w:semiHidden/>
    <w:rsid w:val="0048688F"/>
    <w:rPr>
      <w:rFonts w:ascii="Arial" w:hAnsi="Arial"/>
      <w:sz w:val="22"/>
      <w:szCs w:val="24"/>
      <w:lang w:eastAsia="en-US"/>
    </w:rPr>
  </w:style>
  <w:style w:type="character" w:customStyle="1" w:styleId="Heading2Char">
    <w:name w:val="Heading 2 Char"/>
    <w:basedOn w:val="DefaultParagraphFont"/>
    <w:link w:val="Heading2"/>
    <w:rsid w:val="007D6A78"/>
    <w:rPr>
      <w:rFonts w:ascii="Arial" w:hAnsi="Arial" w:cs="Arial"/>
      <w:b/>
      <w:bCs/>
      <w:iCs/>
      <w:color w:val="0098CB"/>
      <w:sz w:val="28"/>
      <w:szCs w:val="28"/>
      <w:lang w:eastAsia="en-AU"/>
    </w:rPr>
  </w:style>
  <w:style w:type="paragraph" w:styleId="TOC5">
    <w:name w:val="toc 5"/>
    <w:basedOn w:val="Normal"/>
    <w:next w:val="Normal"/>
    <w:autoRedefine/>
    <w:uiPriority w:val="39"/>
    <w:unhideWhenUsed/>
    <w:rsid w:val="009C42C6"/>
    <w:pPr>
      <w:spacing w:after="100" w:line="259" w:lineRule="auto"/>
      <w:ind w:left="880"/>
    </w:pPr>
    <w:rPr>
      <w:rFonts w:asciiTheme="minorHAnsi" w:eastAsiaTheme="minorEastAsia" w:hAnsiTheme="minorHAnsi" w:cstheme="minorBidi"/>
      <w:szCs w:val="22"/>
      <w:lang w:eastAsia="en-AU"/>
    </w:rPr>
  </w:style>
  <w:style w:type="paragraph" w:styleId="TOC6">
    <w:name w:val="toc 6"/>
    <w:next w:val="Normal"/>
    <w:autoRedefine/>
    <w:uiPriority w:val="39"/>
    <w:unhideWhenUsed/>
    <w:rsid w:val="003E2CF7"/>
    <w:pPr>
      <w:tabs>
        <w:tab w:val="left" w:pos="2268"/>
        <w:tab w:val="left" w:pos="2880"/>
        <w:tab w:val="right" w:pos="9792"/>
      </w:tabs>
      <w:spacing w:before="40" w:after="20" w:line="220" w:lineRule="atLeast"/>
      <w:ind w:left="2880" w:right="83" w:hanging="2313"/>
    </w:pPr>
    <w:rPr>
      <w:rFonts w:ascii="Arial" w:hAnsi="Arial"/>
      <w:noProof/>
      <w:sz w:val="22"/>
      <w:szCs w:val="24"/>
      <w:lang w:eastAsia="en-US"/>
    </w:rPr>
  </w:style>
  <w:style w:type="paragraph" w:styleId="TOC7">
    <w:name w:val="toc 7"/>
    <w:basedOn w:val="Normal"/>
    <w:next w:val="Normal"/>
    <w:autoRedefine/>
    <w:uiPriority w:val="39"/>
    <w:unhideWhenUsed/>
    <w:rsid w:val="009C42C6"/>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9C42C6"/>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9C42C6"/>
    <w:pPr>
      <w:spacing w:after="100" w:line="259" w:lineRule="auto"/>
      <w:ind w:left="1760"/>
    </w:pPr>
    <w:rPr>
      <w:rFonts w:asciiTheme="minorHAnsi" w:eastAsiaTheme="minorEastAsia" w:hAnsiTheme="minorHAnsi" w:cstheme="minorBidi"/>
      <w:szCs w:val="22"/>
      <w:lang w:eastAsia="en-AU"/>
    </w:rPr>
  </w:style>
  <w:style w:type="paragraph" w:styleId="List2">
    <w:name w:val="List 2"/>
    <w:basedOn w:val="Normal"/>
    <w:rsid w:val="000E2540"/>
    <w:pPr>
      <w:ind w:left="566" w:hanging="283"/>
      <w:contextualSpacing/>
    </w:pPr>
  </w:style>
  <w:style w:type="paragraph" w:styleId="Title">
    <w:name w:val="Title"/>
    <w:basedOn w:val="Normal"/>
    <w:next w:val="Normal"/>
    <w:link w:val="TitleChar"/>
    <w:qFormat/>
    <w:rsid w:val="00983C72"/>
    <w:pPr>
      <w:keepNext/>
      <w:spacing w:before="120" w:line="240" w:lineRule="auto"/>
    </w:pPr>
    <w:rPr>
      <w:rFonts w:cs="Arial"/>
      <w:b/>
      <w:bCs/>
      <w:color w:val="216E96"/>
      <w:kern w:val="32"/>
      <w:sz w:val="32"/>
      <w:szCs w:val="32"/>
      <w:lang w:eastAsia="en-AU"/>
    </w:rPr>
  </w:style>
  <w:style w:type="character" w:customStyle="1" w:styleId="TitleChar">
    <w:name w:val="Title Char"/>
    <w:basedOn w:val="DefaultParagraphFont"/>
    <w:link w:val="Title"/>
    <w:rsid w:val="009A4341"/>
    <w:rPr>
      <w:rFonts w:ascii="Arial" w:hAnsi="Arial" w:cs="Arial"/>
      <w:b/>
      <w:bCs/>
      <w:color w:val="216E96"/>
      <w:kern w:val="32"/>
      <w:sz w:val="32"/>
      <w:szCs w:val="32"/>
      <w:lang w:eastAsia="en-AU"/>
    </w:rPr>
  </w:style>
  <w:style w:type="paragraph" w:customStyle="1" w:styleId="Recommendationshadedbox">
    <w:name w:val="Recommendation shaded box"/>
    <w:basedOn w:val="Normal"/>
    <w:rsid w:val="006D5438"/>
    <w:pPr>
      <w:pBdr>
        <w:top w:val="single" w:sz="24" w:space="5" w:color="D7EFF5"/>
        <w:left w:val="single" w:sz="24" w:space="5" w:color="D7EFF5"/>
        <w:bottom w:val="single" w:sz="24" w:space="5" w:color="D7EFF5"/>
        <w:right w:val="single" w:sz="24" w:space="5" w:color="D7EFF5"/>
      </w:pBdr>
      <w:shd w:val="clear" w:color="auto" w:fill="D7EFF5"/>
      <w:spacing w:after="0" w:line="240" w:lineRule="atLeast"/>
      <w:ind w:left="357" w:right="454"/>
    </w:pPr>
  </w:style>
  <w:style w:type="paragraph" w:customStyle="1" w:styleId="toc60">
    <w:name w:val="toc 60"/>
    <w:basedOn w:val="TOC2"/>
    <w:next w:val="Normal"/>
    <w:autoRedefine/>
    <w:uiPriority w:val="39"/>
    <w:unhideWhenUsed/>
    <w:rsid w:val="004C5051"/>
    <w:pPr>
      <w:tabs>
        <w:tab w:val="left" w:pos="2424"/>
      </w:tabs>
      <w:ind w:left="2424" w:hanging="2311"/>
    </w:pPr>
  </w:style>
  <w:style w:type="paragraph" w:customStyle="1" w:styleId="toc600">
    <w:name w:val="toc 600"/>
    <w:basedOn w:val="TOC2"/>
    <w:next w:val="Normal"/>
    <w:autoRedefine/>
    <w:uiPriority w:val="39"/>
    <w:unhideWhenUsed/>
    <w:rsid w:val="004C5051"/>
    <w:pPr>
      <w:tabs>
        <w:tab w:val="left" w:pos="2424"/>
      </w:tabs>
      <w:ind w:left="2424" w:hanging="2311"/>
    </w:pPr>
  </w:style>
  <w:style w:type="paragraph" w:styleId="Salutation">
    <w:name w:val="Salutation"/>
    <w:basedOn w:val="Normal"/>
    <w:next w:val="Normal"/>
    <w:link w:val="SalutationChar"/>
    <w:rsid w:val="006E01D5"/>
  </w:style>
  <w:style w:type="character" w:customStyle="1" w:styleId="SalutationChar">
    <w:name w:val="Salutation Char"/>
    <w:basedOn w:val="DefaultParagraphFont"/>
    <w:link w:val="Salutation"/>
    <w:rsid w:val="006E01D5"/>
    <w:rPr>
      <w:rFonts w:ascii="Arial" w:hAnsi="Arial"/>
      <w:sz w:val="22"/>
      <w:szCs w:val="24"/>
      <w:lang w:eastAsia="en-US"/>
    </w:rPr>
  </w:style>
  <w:style w:type="paragraph" w:customStyle="1" w:styleId="m4147854692049653026normalshadedbox">
    <w:name w:val="m_4147854692049653026normalshadedbox"/>
    <w:basedOn w:val="Normal"/>
    <w:rsid w:val="007266FE"/>
    <w:pPr>
      <w:spacing w:before="100" w:beforeAutospacing="1" w:after="100" w:afterAutospacing="1" w:line="240" w:lineRule="auto"/>
    </w:pPr>
    <w:rPr>
      <w:rFonts w:ascii="Calibri" w:eastAsiaTheme="minorHAnsi" w:hAnsi="Calibri" w:cs="Calibri"/>
      <w:szCs w:val="22"/>
      <w:lang w:eastAsia="en-AU"/>
    </w:rPr>
  </w:style>
  <w:style w:type="paragraph" w:customStyle="1" w:styleId="Normalshadedbox">
    <w:name w:val="Normal shaded box"/>
    <w:basedOn w:val="Normaloutlinebox"/>
    <w:qFormat/>
    <w:rsid w:val="00DC6B17"/>
    <w:pPr>
      <w:pBdr>
        <w:top w:val="single" w:sz="24" w:space="5" w:color="D7EFF5"/>
        <w:left w:val="single" w:sz="24" w:space="5" w:color="D7EFF5"/>
        <w:bottom w:val="single" w:sz="24" w:space="5" w:color="D7EFF5"/>
        <w:right w:val="single" w:sz="24" w:space="5" w:color="D7EFF5"/>
      </w:pBdr>
      <w:shd w:val="clear" w:color="auto" w:fill="D7EFF5"/>
    </w:pPr>
  </w:style>
  <w:style w:type="paragraph" w:customStyle="1" w:styleId="Recommendationtextnumbered">
    <w:name w:val="Recommendation text numbered"/>
    <w:basedOn w:val="Normal"/>
    <w:qFormat/>
    <w:rsid w:val="00D63E89"/>
    <w:pPr>
      <w:pBdr>
        <w:top w:val="single" w:sz="24" w:space="5" w:color="D7EFF5"/>
        <w:left w:val="single" w:sz="24" w:space="5" w:color="D7EFF5"/>
        <w:bottom w:val="single" w:sz="24" w:space="5" w:color="D7EFF5"/>
        <w:right w:val="single" w:sz="24" w:space="5" w:color="D7EFF5"/>
      </w:pBdr>
      <w:shd w:val="clear" w:color="auto" w:fill="DEEAF6" w:themeFill="accent5" w:themeFillTint="33"/>
      <w:spacing w:line="260" w:lineRule="atLeast"/>
      <w:ind w:left="357" w:right="113"/>
    </w:pPr>
  </w:style>
  <w:style w:type="paragraph" w:customStyle="1" w:styleId="toc60000">
    <w:name w:val="toc 60000"/>
    <w:basedOn w:val="TOC2"/>
    <w:next w:val="Normal"/>
    <w:autoRedefine/>
    <w:uiPriority w:val="39"/>
    <w:unhideWhenUsed/>
    <w:rsid w:val="007D2FFE"/>
    <w:pPr>
      <w:tabs>
        <w:tab w:val="left" w:pos="2424"/>
      </w:tabs>
      <w:ind w:left="2424" w:hanging="2311"/>
    </w:pPr>
  </w:style>
  <w:style w:type="paragraph" w:customStyle="1" w:styleId="toc600000">
    <w:name w:val="toc 600000"/>
    <w:basedOn w:val="TOC2"/>
    <w:next w:val="Normal"/>
    <w:autoRedefine/>
    <w:uiPriority w:val="39"/>
    <w:unhideWhenUsed/>
    <w:rsid w:val="00A00764"/>
    <w:pPr>
      <w:tabs>
        <w:tab w:val="left" w:pos="2424"/>
      </w:tabs>
      <w:ind w:left="2424"/>
    </w:pPr>
  </w:style>
  <w:style w:type="paragraph" w:customStyle="1" w:styleId="toc6000000">
    <w:name w:val="toc 6000000"/>
    <w:basedOn w:val="TOC2"/>
    <w:next w:val="Normal"/>
    <w:autoRedefine/>
    <w:uiPriority w:val="39"/>
    <w:unhideWhenUsed/>
    <w:rsid w:val="00A00764"/>
    <w:pPr>
      <w:tabs>
        <w:tab w:val="left" w:pos="2424"/>
      </w:tabs>
      <w:ind w:left="2424"/>
    </w:pPr>
  </w:style>
  <w:style w:type="paragraph" w:customStyle="1" w:styleId="Goodfootnote">
    <w:name w:val="Good footnote"/>
    <w:basedOn w:val="FootnoteText"/>
    <w:qFormat/>
    <w:rsid w:val="009B4EF8"/>
    <w:pPr>
      <w:tabs>
        <w:tab w:val="left" w:pos="0"/>
      </w:tabs>
      <w:spacing w:before="0"/>
    </w:pPr>
    <w:rPr>
      <w:rFonts w:eastAsiaTheme="majorEastAsia"/>
    </w:rPr>
  </w:style>
  <w:style w:type="paragraph" w:customStyle="1" w:styleId="Recheadingappendix">
    <w:name w:val="Rec heading appendix"/>
    <w:basedOn w:val="Recommendationheading"/>
    <w:qFormat/>
    <w:rsid w:val="003106C2"/>
    <w:pPr>
      <w:tabs>
        <w:tab w:val="left" w:pos="2694"/>
      </w:tabs>
      <w:ind w:left="717" w:hanging="360"/>
    </w:pPr>
    <w:rPr>
      <w:rFonts w:cs="Arial"/>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042">
      <w:bodyDiv w:val="1"/>
      <w:marLeft w:val="0"/>
      <w:marRight w:val="0"/>
      <w:marTop w:val="0"/>
      <w:marBottom w:val="0"/>
      <w:divBdr>
        <w:top w:val="none" w:sz="0" w:space="0" w:color="auto"/>
        <w:left w:val="none" w:sz="0" w:space="0" w:color="auto"/>
        <w:bottom w:val="none" w:sz="0" w:space="0" w:color="auto"/>
        <w:right w:val="none" w:sz="0" w:space="0" w:color="auto"/>
      </w:divBdr>
    </w:div>
    <w:div w:id="90200541">
      <w:bodyDiv w:val="1"/>
      <w:marLeft w:val="0"/>
      <w:marRight w:val="0"/>
      <w:marTop w:val="0"/>
      <w:marBottom w:val="0"/>
      <w:divBdr>
        <w:top w:val="none" w:sz="0" w:space="0" w:color="auto"/>
        <w:left w:val="none" w:sz="0" w:space="0" w:color="auto"/>
        <w:bottom w:val="none" w:sz="0" w:space="0" w:color="auto"/>
        <w:right w:val="none" w:sz="0" w:space="0" w:color="auto"/>
      </w:divBdr>
    </w:div>
    <w:div w:id="148640091">
      <w:bodyDiv w:val="1"/>
      <w:marLeft w:val="0"/>
      <w:marRight w:val="0"/>
      <w:marTop w:val="0"/>
      <w:marBottom w:val="0"/>
      <w:divBdr>
        <w:top w:val="none" w:sz="0" w:space="0" w:color="auto"/>
        <w:left w:val="none" w:sz="0" w:space="0" w:color="auto"/>
        <w:bottom w:val="none" w:sz="0" w:space="0" w:color="auto"/>
        <w:right w:val="none" w:sz="0" w:space="0" w:color="auto"/>
      </w:divBdr>
    </w:div>
    <w:div w:id="180707144">
      <w:bodyDiv w:val="1"/>
      <w:marLeft w:val="0"/>
      <w:marRight w:val="0"/>
      <w:marTop w:val="0"/>
      <w:marBottom w:val="0"/>
      <w:divBdr>
        <w:top w:val="none" w:sz="0" w:space="0" w:color="auto"/>
        <w:left w:val="none" w:sz="0" w:space="0" w:color="auto"/>
        <w:bottom w:val="none" w:sz="0" w:space="0" w:color="auto"/>
        <w:right w:val="none" w:sz="0" w:space="0" w:color="auto"/>
      </w:divBdr>
    </w:div>
    <w:div w:id="205148694">
      <w:bodyDiv w:val="1"/>
      <w:marLeft w:val="0"/>
      <w:marRight w:val="0"/>
      <w:marTop w:val="0"/>
      <w:marBottom w:val="0"/>
      <w:divBdr>
        <w:top w:val="none" w:sz="0" w:space="0" w:color="auto"/>
        <w:left w:val="none" w:sz="0" w:space="0" w:color="auto"/>
        <w:bottom w:val="none" w:sz="0" w:space="0" w:color="auto"/>
        <w:right w:val="none" w:sz="0" w:space="0" w:color="auto"/>
      </w:divBdr>
    </w:div>
    <w:div w:id="224683070">
      <w:bodyDiv w:val="1"/>
      <w:marLeft w:val="0"/>
      <w:marRight w:val="0"/>
      <w:marTop w:val="0"/>
      <w:marBottom w:val="0"/>
      <w:divBdr>
        <w:top w:val="none" w:sz="0" w:space="0" w:color="auto"/>
        <w:left w:val="none" w:sz="0" w:space="0" w:color="auto"/>
        <w:bottom w:val="none" w:sz="0" w:space="0" w:color="auto"/>
        <w:right w:val="none" w:sz="0" w:space="0" w:color="auto"/>
      </w:divBdr>
    </w:div>
    <w:div w:id="331180897">
      <w:bodyDiv w:val="1"/>
      <w:marLeft w:val="0"/>
      <w:marRight w:val="0"/>
      <w:marTop w:val="0"/>
      <w:marBottom w:val="0"/>
      <w:divBdr>
        <w:top w:val="none" w:sz="0" w:space="0" w:color="auto"/>
        <w:left w:val="none" w:sz="0" w:space="0" w:color="auto"/>
        <w:bottom w:val="none" w:sz="0" w:space="0" w:color="auto"/>
        <w:right w:val="none" w:sz="0" w:space="0" w:color="auto"/>
      </w:divBdr>
    </w:div>
    <w:div w:id="605235212">
      <w:bodyDiv w:val="1"/>
      <w:marLeft w:val="0"/>
      <w:marRight w:val="0"/>
      <w:marTop w:val="0"/>
      <w:marBottom w:val="0"/>
      <w:divBdr>
        <w:top w:val="none" w:sz="0" w:space="0" w:color="auto"/>
        <w:left w:val="none" w:sz="0" w:space="0" w:color="auto"/>
        <w:bottom w:val="none" w:sz="0" w:space="0" w:color="auto"/>
        <w:right w:val="none" w:sz="0" w:space="0" w:color="auto"/>
      </w:divBdr>
    </w:div>
    <w:div w:id="625158434">
      <w:bodyDiv w:val="1"/>
      <w:marLeft w:val="0"/>
      <w:marRight w:val="0"/>
      <w:marTop w:val="0"/>
      <w:marBottom w:val="0"/>
      <w:divBdr>
        <w:top w:val="none" w:sz="0" w:space="0" w:color="auto"/>
        <w:left w:val="none" w:sz="0" w:space="0" w:color="auto"/>
        <w:bottom w:val="none" w:sz="0" w:space="0" w:color="auto"/>
        <w:right w:val="none" w:sz="0" w:space="0" w:color="auto"/>
      </w:divBdr>
    </w:div>
    <w:div w:id="668757800">
      <w:bodyDiv w:val="1"/>
      <w:marLeft w:val="0"/>
      <w:marRight w:val="0"/>
      <w:marTop w:val="0"/>
      <w:marBottom w:val="0"/>
      <w:divBdr>
        <w:top w:val="none" w:sz="0" w:space="0" w:color="auto"/>
        <w:left w:val="none" w:sz="0" w:space="0" w:color="auto"/>
        <w:bottom w:val="none" w:sz="0" w:space="0" w:color="auto"/>
        <w:right w:val="none" w:sz="0" w:space="0" w:color="auto"/>
      </w:divBdr>
    </w:div>
    <w:div w:id="869537990">
      <w:bodyDiv w:val="1"/>
      <w:marLeft w:val="0"/>
      <w:marRight w:val="0"/>
      <w:marTop w:val="0"/>
      <w:marBottom w:val="0"/>
      <w:divBdr>
        <w:top w:val="none" w:sz="0" w:space="0" w:color="auto"/>
        <w:left w:val="none" w:sz="0" w:space="0" w:color="auto"/>
        <w:bottom w:val="none" w:sz="0" w:space="0" w:color="auto"/>
        <w:right w:val="none" w:sz="0" w:space="0" w:color="auto"/>
      </w:divBdr>
    </w:div>
    <w:div w:id="975724427">
      <w:bodyDiv w:val="1"/>
      <w:marLeft w:val="0"/>
      <w:marRight w:val="0"/>
      <w:marTop w:val="0"/>
      <w:marBottom w:val="0"/>
      <w:divBdr>
        <w:top w:val="none" w:sz="0" w:space="0" w:color="auto"/>
        <w:left w:val="none" w:sz="0" w:space="0" w:color="auto"/>
        <w:bottom w:val="none" w:sz="0" w:space="0" w:color="auto"/>
        <w:right w:val="none" w:sz="0" w:space="0" w:color="auto"/>
      </w:divBdr>
    </w:div>
    <w:div w:id="984626604">
      <w:bodyDiv w:val="1"/>
      <w:marLeft w:val="0"/>
      <w:marRight w:val="0"/>
      <w:marTop w:val="0"/>
      <w:marBottom w:val="0"/>
      <w:divBdr>
        <w:top w:val="none" w:sz="0" w:space="0" w:color="auto"/>
        <w:left w:val="none" w:sz="0" w:space="0" w:color="auto"/>
        <w:bottom w:val="none" w:sz="0" w:space="0" w:color="auto"/>
        <w:right w:val="none" w:sz="0" w:space="0" w:color="auto"/>
      </w:divBdr>
    </w:div>
    <w:div w:id="1106465821">
      <w:bodyDiv w:val="1"/>
      <w:marLeft w:val="0"/>
      <w:marRight w:val="0"/>
      <w:marTop w:val="0"/>
      <w:marBottom w:val="0"/>
      <w:divBdr>
        <w:top w:val="none" w:sz="0" w:space="0" w:color="auto"/>
        <w:left w:val="none" w:sz="0" w:space="0" w:color="auto"/>
        <w:bottom w:val="none" w:sz="0" w:space="0" w:color="auto"/>
        <w:right w:val="none" w:sz="0" w:space="0" w:color="auto"/>
      </w:divBdr>
    </w:div>
    <w:div w:id="1129515868">
      <w:bodyDiv w:val="1"/>
      <w:marLeft w:val="0"/>
      <w:marRight w:val="0"/>
      <w:marTop w:val="0"/>
      <w:marBottom w:val="0"/>
      <w:divBdr>
        <w:top w:val="none" w:sz="0" w:space="0" w:color="auto"/>
        <w:left w:val="none" w:sz="0" w:space="0" w:color="auto"/>
        <w:bottom w:val="none" w:sz="0" w:space="0" w:color="auto"/>
        <w:right w:val="none" w:sz="0" w:space="0" w:color="auto"/>
      </w:divBdr>
    </w:div>
    <w:div w:id="1369993425">
      <w:bodyDiv w:val="1"/>
      <w:marLeft w:val="0"/>
      <w:marRight w:val="0"/>
      <w:marTop w:val="0"/>
      <w:marBottom w:val="0"/>
      <w:divBdr>
        <w:top w:val="none" w:sz="0" w:space="0" w:color="auto"/>
        <w:left w:val="none" w:sz="0" w:space="0" w:color="auto"/>
        <w:bottom w:val="none" w:sz="0" w:space="0" w:color="auto"/>
        <w:right w:val="none" w:sz="0" w:space="0" w:color="auto"/>
      </w:divBdr>
    </w:div>
    <w:div w:id="1370884486">
      <w:bodyDiv w:val="1"/>
      <w:marLeft w:val="0"/>
      <w:marRight w:val="0"/>
      <w:marTop w:val="0"/>
      <w:marBottom w:val="0"/>
      <w:divBdr>
        <w:top w:val="none" w:sz="0" w:space="0" w:color="auto"/>
        <w:left w:val="none" w:sz="0" w:space="0" w:color="auto"/>
        <w:bottom w:val="none" w:sz="0" w:space="0" w:color="auto"/>
        <w:right w:val="none" w:sz="0" w:space="0" w:color="auto"/>
      </w:divBdr>
    </w:div>
    <w:div w:id="1392384836">
      <w:bodyDiv w:val="1"/>
      <w:marLeft w:val="0"/>
      <w:marRight w:val="0"/>
      <w:marTop w:val="0"/>
      <w:marBottom w:val="0"/>
      <w:divBdr>
        <w:top w:val="none" w:sz="0" w:space="0" w:color="auto"/>
        <w:left w:val="none" w:sz="0" w:space="0" w:color="auto"/>
        <w:bottom w:val="none" w:sz="0" w:space="0" w:color="auto"/>
        <w:right w:val="none" w:sz="0" w:space="0" w:color="auto"/>
      </w:divBdr>
    </w:div>
    <w:div w:id="1412238462">
      <w:bodyDiv w:val="1"/>
      <w:marLeft w:val="0"/>
      <w:marRight w:val="0"/>
      <w:marTop w:val="0"/>
      <w:marBottom w:val="0"/>
      <w:divBdr>
        <w:top w:val="none" w:sz="0" w:space="0" w:color="auto"/>
        <w:left w:val="none" w:sz="0" w:space="0" w:color="auto"/>
        <w:bottom w:val="none" w:sz="0" w:space="0" w:color="auto"/>
        <w:right w:val="none" w:sz="0" w:space="0" w:color="auto"/>
      </w:divBdr>
    </w:div>
    <w:div w:id="1412965600">
      <w:bodyDiv w:val="1"/>
      <w:marLeft w:val="0"/>
      <w:marRight w:val="0"/>
      <w:marTop w:val="0"/>
      <w:marBottom w:val="0"/>
      <w:divBdr>
        <w:top w:val="none" w:sz="0" w:space="0" w:color="auto"/>
        <w:left w:val="none" w:sz="0" w:space="0" w:color="auto"/>
        <w:bottom w:val="none" w:sz="0" w:space="0" w:color="auto"/>
        <w:right w:val="none" w:sz="0" w:space="0" w:color="auto"/>
      </w:divBdr>
    </w:div>
    <w:div w:id="1558786862">
      <w:bodyDiv w:val="1"/>
      <w:marLeft w:val="0"/>
      <w:marRight w:val="0"/>
      <w:marTop w:val="0"/>
      <w:marBottom w:val="0"/>
      <w:divBdr>
        <w:top w:val="none" w:sz="0" w:space="0" w:color="auto"/>
        <w:left w:val="none" w:sz="0" w:space="0" w:color="auto"/>
        <w:bottom w:val="none" w:sz="0" w:space="0" w:color="auto"/>
        <w:right w:val="none" w:sz="0" w:space="0" w:color="auto"/>
      </w:divBdr>
    </w:div>
    <w:div w:id="1649700802">
      <w:bodyDiv w:val="1"/>
      <w:marLeft w:val="0"/>
      <w:marRight w:val="0"/>
      <w:marTop w:val="0"/>
      <w:marBottom w:val="0"/>
      <w:divBdr>
        <w:top w:val="none" w:sz="0" w:space="0" w:color="auto"/>
        <w:left w:val="none" w:sz="0" w:space="0" w:color="auto"/>
        <w:bottom w:val="none" w:sz="0" w:space="0" w:color="auto"/>
        <w:right w:val="none" w:sz="0" w:space="0" w:color="auto"/>
      </w:divBdr>
    </w:div>
    <w:div w:id="1660186846">
      <w:bodyDiv w:val="1"/>
      <w:marLeft w:val="0"/>
      <w:marRight w:val="0"/>
      <w:marTop w:val="0"/>
      <w:marBottom w:val="0"/>
      <w:divBdr>
        <w:top w:val="none" w:sz="0" w:space="0" w:color="auto"/>
        <w:left w:val="none" w:sz="0" w:space="0" w:color="auto"/>
        <w:bottom w:val="none" w:sz="0" w:space="0" w:color="auto"/>
        <w:right w:val="none" w:sz="0" w:space="0" w:color="auto"/>
      </w:divBdr>
    </w:div>
    <w:div w:id="1803695930">
      <w:bodyDiv w:val="1"/>
      <w:marLeft w:val="0"/>
      <w:marRight w:val="0"/>
      <w:marTop w:val="0"/>
      <w:marBottom w:val="0"/>
      <w:divBdr>
        <w:top w:val="none" w:sz="0" w:space="0" w:color="auto"/>
        <w:left w:val="none" w:sz="0" w:space="0" w:color="auto"/>
        <w:bottom w:val="none" w:sz="0" w:space="0" w:color="auto"/>
        <w:right w:val="none" w:sz="0" w:space="0" w:color="auto"/>
      </w:divBdr>
    </w:div>
    <w:div w:id="1912303329">
      <w:bodyDiv w:val="1"/>
      <w:marLeft w:val="0"/>
      <w:marRight w:val="0"/>
      <w:marTop w:val="0"/>
      <w:marBottom w:val="0"/>
      <w:divBdr>
        <w:top w:val="none" w:sz="0" w:space="0" w:color="auto"/>
        <w:left w:val="none" w:sz="0" w:space="0" w:color="auto"/>
        <w:bottom w:val="none" w:sz="0" w:space="0" w:color="auto"/>
        <w:right w:val="none" w:sz="0" w:space="0" w:color="auto"/>
      </w:divBdr>
    </w:div>
    <w:div w:id="2036269797">
      <w:bodyDiv w:val="1"/>
      <w:marLeft w:val="0"/>
      <w:marRight w:val="0"/>
      <w:marTop w:val="0"/>
      <w:marBottom w:val="0"/>
      <w:divBdr>
        <w:top w:val="none" w:sz="0" w:space="0" w:color="auto"/>
        <w:left w:val="none" w:sz="0" w:space="0" w:color="auto"/>
        <w:bottom w:val="none" w:sz="0" w:space="0" w:color="auto"/>
        <w:right w:val="none" w:sz="0" w:space="0" w:color="auto"/>
      </w:divBdr>
    </w:div>
    <w:div w:id="2047483765">
      <w:bodyDiv w:val="1"/>
      <w:marLeft w:val="0"/>
      <w:marRight w:val="0"/>
      <w:marTop w:val="0"/>
      <w:marBottom w:val="0"/>
      <w:divBdr>
        <w:top w:val="none" w:sz="0" w:space="0" w:color="auto"/>
        <w:left w:val="none" w:sz="0" w:space="0" w:color="auto"/>
        <w:bottom w:val="none" w:sz="0" w:space="0" w:color="auto"/>
        <w:right w:val="none" w:sz="0" w:space="0" w:color="auto"/>
      </w:divBdr>
    </w:div>
    <w:div w:id="2052992662">
      <w:bodyDiv w:val="1"/>
      <w:marLeft w:val="0"/>
      <w:marRight w:val="0"/>
      <w:marTop w:val="0"/>
      <w:marBottom w:val="0"/>
      <w:divBdr>
        <w:top w:val="none" w:sz="0" w:space="0" w:color="auto"/>
        <w:left w:val="none" w:sz="0" w:space="0" w:color="auto"/>
        <w:bottom w:val="none" w:sz="0" w:space="0" w:color="auto"/>
        <w:right w:val="none" w:sz="0" w:space="0" w:color="auto"/>
      </w:divBdr>
    </w:div>
    <w:div w:id="20937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alaid.vic.gov.a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legalaid.vic.gov.au/sites/www.legalaid.vic.gov.au/files/vla-answers-to-productivity-commission-questions-on-mental-health.docx" TargetMode="External"/><Relationship Id="rId13" Type="http://schemas.openxmlformats.org/officeDocument/2006/relationships/hyperlink" Target="https://apps.who.int/iris/bitstream/handle/10665/112828/9789241506809_eng.pdf" TargetMode="External"/><Relationship Id="rId18" Type="http://schemas.openxmlformats.org/officeDocument/2006/relationships/hyperlink" Target="https://www.who.int/mental_health/media/en/242.pdf?ua=1" TargetMode="External"/><Relationship Id="rId26" Type="http://schemas.openxmlformats.org/officeDocument/2006/relationships/hyperlink" Target="https://tbinternet.ohchr.org/_layouts/15/treatybodyexternal/Download.aspx?symbolno=CRPD/C/AUS/CO/2-3&amp;Lang=en" TargetMode="External"/><Relationship Id="rId39" Type="http://schemas.openxmlformats.org/officeDocument/2006/relationships/hyperlink" Target="https://www.legalaid.vic.gov.au/sites/www.legalaid.vic.gov.au/files/vla-submission-putting-people-first-removing-barriers-for-people-with-disability-to-access-ndis-supports-11-2019.pdf" TargetMode="External"/><Relationship Id="rId3" Type="http://schemas.openxmlformats.org/officeDocument/2006/relationships/hyperlink" Target="https://www.imha.vic.gov.au/about-us/news/imha-wins-top-award-for-leadership-in-mental-health" TargetMode="External"/><Relationship Id="rId21" Type="http://schemas.openxmlformats.org/officeDocument/2006/relationships/hyperlink" Target="https://www.mht.vic.gov.au/sites/default/files/documents/201910/MHT-2018-2019-Annual-Report.pdf" TargetMode="External"/><Relationship Id="rId34" Type="http://schemas.openxmlformats.org/officeDocument/2006/relationships/hyperlink" Target="https://www.aida.org.au/mediareleases/doctors-lawyers-experts-unite-in-call-to-raise-the-age-of-criminal-responsibility" TargetMode="External"/><Relationship Id="rId42" Type="http://schemas.openxmlformats.org/officeDocument/2006/relationships/hyperlink" Target="https://www.corrections.vic.gov.au/prisons/corrections-statistics-quick-reference" TargetMode="External"/><Relationship Id="rId47" Type="http://schemas.openxmlformats.org/officeDocument/2006/relationships/hyperlink" Target="https://www.ombudsman.vic.gov.au/News/Media-Releases/imprisonment-of-woman-found-unfit-to-stand-trial" TargetMode="External"/><Relationship Id="rId7" Type="http://schemas.openxmlformats.org/officeDocument/2006/relationships/hyperlink" Target="https://www.vic.gov.au/victim-survivors-advisory-council" TargetMode="External"/><Relationship Id="rId12" Type="http://schemas.openxmlformats.org/officeDocument/2006/relationships/hyperlink" Target="https://www2.health.vic.gov.au/about/publications/policiesandguidelines/commitment-family-violence-learning-agenda" TargetMode="External"/><Relationship Id="rId17" Type="http://schemas.openxmlformats.org/officeDocument/2006/relationships/hyperlink" Target="https://www.mcm.org.au/justice/the-atrium-housing-and-support-program" TargetMode="External"/><Relationship Id="rId25" Type="http://schemas.openxmlformats.org/officeDocument/2006/relationships/hyperlink" Target="https://w.www.vic.gov.au/system/user_files/Documents/av/VAAF%20FINAL.pdf" TargetMode="External"/><Relationship Id="rId33" Type="http://schemas.openxmlformats.org/officeDocument/2006/relationships/hyperlink" Target="https://ama.com.au/media/ama-calls-age-criminal-responsibility-be-raised-14-years-age" TargetMode="External"/><Relationship Id="rId38" Type="http://schemas.openxmlformats.org/officeDocument/2006/relationships/hyperlink" Target="https://www.crimestatistics.vic.gov.au/sites/default/files/embridge_cache/emshare/original/public/2017/09/7f/e1e924c80/20170925_in%20brief9%20FINAL.pdf" TargetMode="External"/><Relationship Id="rId46" Type="http://schemas.openxmlformats.org/officeDocument/2006/relationships/hyperlink" Target="https://www.audit.vic.gov.au/sites/default/files/2018-08/20180808-Youth-Detention.pdf" TargetMode="External"/><Relationship Id="rId2" Type="http://schemas.openxmlformats.org/officeDocument/2006/relationships/hyperlink" Target="https://recoverylibrary.unimelb.edu.au/__data/assets/pdf_file/0010/2659969/Coproduction_putting-principles-into-practice.pdf" TargetMode="External"/><Relationship Id="rId16" Type="http://schemas.openxmlformats.org/officeDocument/2006/relationships/hyperlink" Target="https://www.legalaid.vic.gov.au/sites/www.legalaid.vic.gov.au/files/vla-submission-putting-people-first-removing-barriers-for-people-with-disability-to-access-ndis-supports-11-2019.pdf" TargetMode="External"/><Relationship Id="rId20" Type="http://schemas.openxmlformats.org/officeDocument/2006/relationships/hyperlink" Target="https://www.ranzcp.org/files/resources/college_statements/mental-health-legislation-tables/powers-and-duties-of-psychiatrists-in-australian-a.aspx" TargetMode="External"/><Relationship Id="rId29" Type="http://schemas.openxmlformats.org/officeDocument/2006/relationships/hyperlink" Target="https://www.humanrights.gov.au/our-work/sex-discrimination/publications/respectwork-sexual-harassment-national-inquiry-report-2020" TargetMode="External"/><Relationship Id="rId41" Type="http://schemas.openxmlformats.org/officeDocument/2006/relationships/hyperlink" Target="https://www.mcv.vic.gov.au/find-support/bail-support-cisp" TargetMode="External"/><Relationship Id="rId1" Type="http://schemas.openxmlformats.org/officeDocument/2006/relationships/hyperlink" Target="http://www.legalaid.vic.gov.au/roadstorecovery" TargetMode="External"/><Relationship Id="rId6" Type="http://schemas.openxmlformats.org/officeDocument/2006/relationships/hyperlink" Target="https://cmhl.org.au/sites/default/files/resources-pdfs/Consumer-Workforce-Strategy-web.pdf" TargetMode="External"/><Relationship Id="rId11" Type="http://schemas.openxmlformats.org/officeDocument/2006/relationships/hyperlink" Target="https://www.publicadvocate.vic.gov.au/resources/annual-reports/community-visitors-annual-reports/637-opa-cv-annual-report-2018-19/file" TargetMode="External"/><Relationship Id="rId24" Type="http://schemas.openxmlformats.org/officeDocument/2006/relationships/hyperlink" Target="https://engage.vic.gov.au/human-rights-charter-review" TargetMode="External"/><Relationship Id="rId32" Type="http://schemas.openxmlformats.org/officeDocument/2006/relationships/hyperlink" Target="https://www.legalaid.vic.gov.au/about-us/strategic-advocacy-and-law-reform/more-effective-responses-to-family-violence/royal-commission-into-family-violence" TargetMode="External"/><Relationship Id="rId37" Type="http://schemas.openxmlformats.org/officeDocument/2006/relationships/hyperlink" Target="https://www.abs.gov.au/AUSSTATS/abs@.nsf/DetailsPage/4519.02018-19?OpenDocument" TargetMode="External"/><Relationship Id="rId40" Type="http://schemas.openxmlformats.org/officeDocument/2006/relationships/hyperlink" Target="https://www.legalaid.vic.gov.au/about-us/news/reforming-ndis-to-meet-peoples-needs" TargetMode="External"/><Relationship Id="rId45" Type="http://schemas.openxmlformats.org/officeDocument/2006/relationships/hyperlink" Target="https://www.audit.vic.gov.au/sites/default/files/20170208-Community-Corrections.pdf" TargetMode="External"/><Relationship Id="rId5" Type="http://schemas.openxmlformats.org/officeDocument/2006/relationships/hyperlink" Target="https://www2.health.vic.gov.au/about/publications/policiesandguidelines/Community-advisory-committee-guidelines%C2%A0" TargetMode="External"/><Relationship Id="rId15" Type="http://schemas.openxmlformats.org/officeDocument/2006/relationships/hyperlink" Target="http://www.legalaid.vic.gov.au/sites/www.legalaid.vic.gov.au/files/vla-submission-to-the-ndis-thin-markets-project-june-2019.docx" TargetMode="External"/><Relationship Id="rId23" Type="http://schemas.openxmlformats.org/officeDocument/2006/relationships/hyperlink" Target="https://www.bettersafercare.vic.gov.au/sites/default/files/2019-12/Victorian%20Clinical%20Council%20-%20Diversity%20and%20cultural%20safety%20advice%202019.pdf" TargetMode="External"/><Relationship Id="rId28" Type="http://schemas.openxmlformats.org/officeDocument/2006/relationships/hyperlink" Target="https://www.legalaid.vic.gov.au/node/610" TargetMode="External"/><Relationship Id="rId36" Type="http://schemas.openxmlformats.org/officeDocument/2006/relationships/hyperlink" Target="https://www.sentencingcouncil.vic.gov.au/sites/default/files/2019-08/Reoffending_by_Children_and_Young_People_in_Victoria.pdf" TargetMode="External"/><Relationship Id="rId10" Type="http://schemas.openxmlformats.org/officeDocument/2006/relationships/hyperlink" Target="https://www.legalaid.vic.gov.au/sites/www.legalaid.vic.gov.au/files/vla-letter-responding-to-question-on-notice-30-july-2019-redacted.pdf" TargetMode="External"/><Relationship Id="rId19" Type="http://schemas.openxmlformats.org/officeDocument/2006/relationships/hyperlink" Target="https://www.legalaid.vic.gov.au/about-us/strategic-advocacy-and-law-reform/other-activities" TargetMode="External"/><Relationship Id="rId31" Type="http://schemas.openxmlformats.org/officeDocument/2006/relationships/hyperlink" Target="https://www.legalaid.vic.gov.au/about-us/strategic-advocacy-and-law-reform/other-activities" TargetMode="External"/><Relationship Id="rId44" Type="http://schemas.openxmlformats.org/officeDocument/2006/relationships/hyperlink" Target="https://www.bbc.com/news/uk-46847162" TargetMode="External"/><Relationship Id="rId4" Type="http://schemas.openxmlformats.org/officeDocument/2006/relationships/hyperlink" Target="https://www.legalaid.vic.gov.au/about-us/our-organisation/how-we-are-improving-our-services/client-first-strategy" TargetMode="External"/><Relationship Id="rId9" Type="http://schemas.openxmlformats.org/officeDocument/2006/relationships/hyperlink" Target="https://www.legalaid.vic.gov.au/sites/www.legalaid.vic.gov.au/files/vla-letter-responding-to-question-on-notice-30-july-2019-redacted.pdf" TargetMode="External"/><Relationship Id="rId14" Type="http://schemas.openxmlformats.org/officeDocument/2006/relationships/hyperlink" Target="https://www.audit.vic.gov.au/report/access-mental-health-services?section=33107--3-understanding-and-meeting-demand" TargetMode="External"/><Relationship Id="rId22" Type="http://schemas.openxmlformats.org/officeDocument/2006/relationships/hyperlink" Target="https://www.data.vic.gov.au/datavic-access-policy" TargetMode="External"/><Relationship Id="rId27" Type="http://schemas.openxmlformats.org/officeDocument/2006/relationships/hyperlink" Target="https://www.churchilltrust.com.au/media/fellows/Caruana_S_2017_inspection_methodologies_for_oversight_bodies_with_an_OPCAT_focus.pdf" TargetMode="External"/><Relationship Id="rId30" Type="http://schemas.openxmlformats.org/officeDocument/2006/relationships/hyperlink" Target="https://www.legalaid.vic.gov.au/sites/www.legalaid.vic.gov.au/files/vla-submission-ahrc-national-inquiry-sexual-harassment-at-work.pdf" TargetMode="External"/><Relationship Id="rId35" Type="http://schemas.openxmlformats.org/officeDocument/2006/relationships/hyperlink" Target="http://cypp.unsw.edu.au/node/146" TargetMode="External"/><Relationship Id="rId43" Type="http://schemas.openxmlformats.org/officeDocument/2006/relationships/hyperlink" Target="https://www.pc.gov.au/research/ongoing/report-on-government-services/2020/justice" TargetMode="External"/><Relationship Id="rId48" Type="http://schemas.openxmlformats.org/officeDocument/2006/relationships/hyperlink" Target="https://www.corrections.vic.gov.au/prisons/judy-lazarus-transition-centr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59a711-3209-41be-83ed-942adbe7fa3f">
      <UserInfo>
        <DisplayName>Mahalia Lodge</DisplayName>
        <AccountId>78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B45B-745B-4299-A0DA-BE5B905305E4}">
  <ds:schemaRefs>
    <ds:schemaRef ds:uri="http://schemas.microsoft.com/sharepoint/v3/contenttype/forms"/>
  </ds:schemaRefs>
</ds:datastoreItem>
</file>

<file path=customXml/itemProps2.xml><?xml version="1.0" encoding="utf-8"?>
<ds:datastoreItem xmlns:ds="http://schemas.openxmlformats.org/officeDocument/2006/customXml" ds:itemID="{D16F1192-941B-4C79-BC55-DFEB892F2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ABA80-3893-4518-9417-50677813DEF4}">
  <ds:schemaRefs>
    <ds:schemaRef ds:uri="http://schemas.microsoft.com/office/2006/metadata/properties"/>
    <ds:schemaRef ds:uri="http://schemas.microsoft.com/office/infopath/2007/PartnerControls"/>
    <ds:schemaRef ds:uri="f459a711-3209-41be-83ed-942adbe7fa3f"/>
  </ds:schemaRefs>
</ds:datastoreItem>
</file>

<file path=customXml/itemProps4.xml><?xml version="1.0" encoding="utf-8"?>
<ds:datastoreItem xmlns:ds="http://schemas.openxmlformats.org/officeDocument/2006/customXml" ds:itemID="{95A5E12B-DCDE-42E0-9431-28FDB82D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24572</Words>
  <Characters>140065</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Paving the roads to recovery - recommendations for the Royal Commission into Victoria's Mental Health System</vt:lpstr>
    </vt:vector>
  </TitlesOfParts>
  <Company>Victoria Legal Aid</Company>
  <LinksUpToDate>false</LinksUpToDate>
  <CharactersWithSpaces>164309</CharactersWithSpaces>
  <SharedDoc>false</SharedDoc>
  <HLinks>
    <vt:vector size="528" baseType="variant">
      <vt:variant>
        <vt:i4>7864372</vt:i4>
      </vt:variant>
      <vt:variant>
        <vt:i4>237</vt:i4>
      </vt:variant>
      <vt:variant>
        <vt:i4>0</vt:i4>
      </vt:variant>
      <vt:variant>
        <vt:i4>5</vt:i4>
      </vt:variant>
      <vt:variant>
        <vt:lpwstr>http://www.legalaid.vic.gov.au/</vt:lpwstr>
      </vt:variant>
      <vt:variant>
        <vt:lpwstr/>
      </vt:variant>
      <vt:variant>
        <vt:i4>1900602</vt:i4>
      </vt:variant>
      <vt:variant>
        <vt:i4>230</vt:i4>
      </vt:variant>
      <vt:variant>
        <vt:i4>0</vt:i4>
      </vt:variant>
      <vt:variant>
        <vt:i4>5</vt:i4>
      </vt:variant>
      <vt:variant>
        <vt:lpwstr/>
      </vt:variant>
      <vt:variant>
        <vt:lpwstr>_Toc41472985</vt:lpwstr>
      </vt:variant>
      <vt:variant>
        <vt:i4>1835066</vt:i4>
      </vt:variant>
      <vt:variant>
        <vt:i4>224</vt:i4>
      </vt:variant>
      <vt:variant>
        <vt:i4>0</vt:i4>
      </vt:variant>
      <vt:variant>
        <vt:i4>5</vt:i4>
      </vt:variant>
      <vt:variant>
        <vt:lpwstr/>
      </vt:variant>
      <vt:variant>
        <vt:lpwstr>_Toc41472984</vt:lpwstr>
      </vt:variant>
      <vt:variant>
        <vt:i4>1769530</vt:i4>
      </vt:variant>
      <vt:variant>
        <vt:i4>218</vt:i4>
      </vt:variant>
      <vt:variant>
        <vt:i4>0</vt:i4>
      </vt:variant>
      <vt:variant>
        <vt:i4>5</vt:i4>
      </vt:variant>
      <vt:variant>
        <vt:lpwstr/>
      </vt:variant>
      <vt:variant>
        <vt:lpwstr>_Toc41472983</vt:lpwstr>
      </vt:variant>
      <vt:variant>
        <vt:i4>1703994</vt:i4>
      </vt:variant>
      <vt:variant>
        <vt:i4>212</vt:i4>
      </vt:variant>
      <vt:variant>
        <vt:i4>0</vt:i4>
      </vt:variant>
      <vt:variant>
        <vt:i4>5</vt:i4>
      </vt:variant>
      <vt:variant>
        <vt:lpwstr/>
      </vt:variant>
      <vt:variant>
        <vt:lpwstr>_Toc41472982</vt:lpwstr>
      </vt:variant>
      <vt:variant>
        <vt:i4>1638458</vt:i4>
      </vt:variant>
      <vt:variant>
        <vt:i4>206</vt:i4>
      </vt:variant>
      <vt:variant>
        <vt:i4>0</vt:i4>
      </vt:variant>
      <vt:variant>
        <vt:i4>5</vt:i4>
      </vt:variant>
      <vt:variant>
        <vt:lpwstr/>
      </vt:variant>
      <vt:variant>
        <vt:lpwstr>_Toc41472981</vt:lpwstr>
      </vt:variant>
      <vt:variant>
        <vt:i4>1572922</vt:i4>
      </vt:variant>
      <vt:variant>
        <vt:i4>200</vt:i4>
      </vt:variant>
      <vt:variant>
        <vt:i4>0</vt:i4>
      </vt:variant>
      <vt:variant>
        <vt:i4>5</vt:i4>
      </vt:variant>
      <vt:variant>
        <vt:lpwstr/>
      </vt:variant>
      <vt:variant>
        <vt:lpwstr>_Toc41472980</vt:lpwstr>
      </vt:variant>
      <vt:variant>
        <vt:i4>1114165</vt:i4>
      </vt:variant>
      <vt:variant>
        <vt:i4>194</vt:i4>
      </vt:variant>
      <vt:variant>
        <vt:i4>0</vt:i4>
      </vt:variant>
      <vt:variant>
        <vt:i4>5</vt:i4>
      </vt:variant>
      <vt:variant>
        <vt:lpwstr/>
      </vt:variant>
      <vt:variant>
        <vt:lpwstr>_Toc41472979</vt:lpwstr>
      </vt:variant>
      <vt:variant>
        <vt:i4>1048629</vt:i4>
      </vt:variant>
      <vt:variant>
        <vt:i4>188</vt:i4>
      </vt:variant>
      <vt:variant>
        <vt:i4>0</vt:i4>
      </vt:variant>
      <vt:variant>
        <vt:i4>5</vt:i4>
      </vt:variant>
      <vt:variant>
        <vt:lpwstr/>
      </vt:variant>
      <vt:variant>
        <vt:lpwstr>_Toc41472978</vt:lpwstr>
      </vt:variant>
      <vt:variant>
        <vt:i4>2031669</vt:i4>
      </vt:variant>
      <vt:variant>
        <vt:i4>182</vt:i4>
      </vt:variant>
      <vt:variant>
        <vt:i4>0</vt:i4>
      </vt:variant>
      <vt:variant>
        <vt:i4>5</vt:i4>
      </vt:variant>
      <vt:variant>
        <vt:lpwstr/>
      </vt:variant>
      <vt:variant>
        <vt:lpwstr>_Toc41472977</vt:lpwstr>
      </vt:variant>
      <vt:variant>
        <vt:i4>1966133</vt:i4>
      </vt:variant>
      <vt:variant>
        <vt:i4>176</vt:i4>
      </vt:variant>
      <vt:variant>
        <vt:i4>0</vt:i4>
      </vt:variant>
      <vt:variant>
        <vt:i4>5</vt:i4>
      </vt:variant>
      <vt:variant>
        <vt:lpwstr/>
      </vt:variant>
      <vt:variant>
        <vt:lpwstr>_Toc41472976</vt:lpwstr>
      </vt:variant>
      <vt:variant>
        <vt:i4>1900597</vt:i4>
      </vt:variant>
      <vt:variant>
        <vt:i4>170</vt:i4>
      </vt:variant>
      <vt:variant>
        <vt:i4>0</vt:i4>
      </vt:variant>
      <vt:variant>
        <vt:i4>5</vt:i4>
      </vt:variant>
      <vt:variant>
        <vt:lpwstr/>
      </vt:variant>
      <vt:variant>
        <vt:lpwstr>_Toc41472975</vt:lpwstr>
      </vt:variant>
      <vt:variant>
        <vt:i4>1835061</vt:i4>
      </vt:variant>
      <vt:variant>
        <vt:i4>164</vt:i4>
      </vt:variant>
      <vt:variant>
        <vt:i4>0</vt:i4>
      </vt:variant>
      <vt:variant>
        <vt:i4>5</vt:i4>
      </vt:variant>
      <vt:variant>
        <vt:lpwstr/>
      </vt:variant>
      <vt:variant>
        <vt:lpwstr>_Toc41472974</vt:lpwstr>
      </vt:variant>
      <vt:variant>
        <vt:i4>1769525</vt:i4>
      </vt:variant>
      <vt:variant>
        <vt:i4>158</vt:i4>
      </vt:variant>
      <vt:variant>
        <vt:i4>0</vt:i4>
      </vt:variant>
      <vt:variant>
        <vt:i4>5</vt:i4>
      </vt:variant>
      <vt:variant>
        <vt:lpwstr/>
      </vt:variant>
      <vt:variant>
        <vt:lpwstr>_Toc41472973</vt:lpwstr>
      </vt:variant>
      <vt:variant>
        <vt:i4>1703989</vt:i4>
      </vt:variant>
      <vt:variant>
        <vt:i4>152</vt:i4>
      </vt:variant>
      <vt:variant>
        <vt:i4>0</vt:i4>
      </vt:variant>
      <vt:variant>
        <vt:i4>5</vt:i4>
      </vt:variant>
      <vt:variant>
        <vt:lpwstr/>
      </vt:variant>
      <vt:variant>
        <vt:lpwstr>_Toc41472972</vt:lpwstr>
      </vt:variant>
      <vt:variant>
        <vt:i4>1638453</vt:i4>
      </vt:variant>
      <vt:variant>
        <vt:i4>146</vt:i4>
      </vt:variant>
      <vt:variant>
        <vt:i4>0</vt:i4>
      </vt:variant>
      <vt:variant>
        <vt:i4>5</vt:i4>
      </vt:variant>
      <vt:variant>
        <vt:lpwstr/>
      </vt:variant>
      <vt:variant>
        <vt:lpwstr>_Toc41472971</vt:lpwstr>
      </vt:variant>
      <vt:variant>
        <vt:i4>1572917</vt:i4>
      </vt:variant>
      <vt:variant>
        <vt:i4>140</vt:i4>
      </vt:variant>
      <vt:variant>
        <vt:i4>0</vt:i4>
      </vt:variant>
      <vt:variant>
        <vt:i4>5</vt:i4>
      </vt:variant>
      <vt:variant>
        <vt:lpwstr/>
      </vt:variant>
      <vt:variant>
        <vt:lpwstr>_Toc41472970</vt:lpwstr>
      </vt:variant>
      <vt:variant>
        <vt:i4>1114164</vt:i4>
      </vt:variant>
      <vt:variant>
        <vt:i4>134</vt:i4>
      </vt:variant>
      <vt:variant>
        <vt:i4>0</vt:i4>
      </vt:variant>
      <vt:variant>
        <vt:i4>5</vt:i4>
      </vt:variant>
      <vt:variant>
        <vt:lpwstr/>
      </vt:variant>
      <vt:variant>
        <vt:lpwstr>_Toc41472969</vt:lpwstr>
      </vt:variant>
      <vt:variant>
        <vt:i4>1048628</vt:i4>
      </vt:variant>
      <vt:variant>
        <vt:i4>128</vt:i4>
      </vt:variant>
      <vt:variant>
        <vt:i4>0</vt:i4>
      </vt:variant>
      <vt:variant>
        <vt:i4>5</vt:i4>
      </vt:variant>
      <vt:variant>
        <vt:lpwstr/>
      </vt:variant>
      <vt:variant>
        <vt:lpwstr>_Toc41472968</vt:lpwstr>
      </vt:variant>
      <vt:variant>
        <vt:i4>2031668</vt:i4>
      </vt:variant>
      <vt:variant>
        <vt:i4>122</vt:i4>
      </vt:variant>
      <vt:variant>
        <vt:i4>0</vt:i4>
      </vt:variant>
      <vt:variant>
        <vt:i4>5</vt:i4>
      </vt:variant>
      <vt:variant>
        <vt:lpwstr/>
      </vt:variant>
      <vt:variant>
        <vt:lpwstr>_Toc41472967</vt:lpwstr>
      </vt:variant>
      <vt:variant>
        <vt:i4>1966132</vt:i4>
      </vt:variant>
      <vt:variant>
        <vt:i4>116</vt:i4>
      </vt:variant>
      <vt:variant>
        <vt:i4>0</vt:i4>
      </vt:variant>
      <vt:variant>
        <vt:i4>5</vt:i4>
      </vt:variant>
      <vt:variant>
        <vt:lpwstr/>
      </vt:variant>
      <vt:variant>
        <vt:lpwstr>_Toc41472966</vt:lpwstr>
      </vt:variant>
      <vt:variant>
        <vt:i4>1900596</vt:i4>
      </vt:variant>
      <vt:variant>
        <vt:i4>110</vt:i4>
      </vt:variant>
      <vt:variant>
        <vt:i4>0</vt:i4>
      </vt:variant>
      <vt:variant>
        <vt:i4>5</vt:i4>
      </vt:variant>
      <vt:variant>
        <vt:lpwstr/>
      </vt:variant>
      <vt:variant>
        <vt:lpwstr>_Toc41472965</vt:lpwstr>
      </vt:variant>
      <vt:variant>
        <vt:i4>1835060</vt:i4>
      </vt:variant>
      <vt:variant>
        <vt:i4>104</vt:i4>
      </vt:variant>
      <vt:variant>
        <vt:i4>0</vt:i4>
      </vt:variant>
      <vt:variant>
        <vt:i4>5</vt:i4>
      </vt:variant>
      <vt:variant>
        <vt:lpwstr/>
      </vt:variant>
      <vt:variant>
        <vt:lpwstr>_Toc41472964</vt:lpwstr>
      </vt:variant>
      <vt:variant>
        <vt:i4>1769524</vt:i4>
      </vt:variant>
      <vt:variant>
        <vt:i4>98</vt:i4>
      </vt:variant>
      <vt:variant>
        <vt:i4>0</vt:i4>
      </vt:variant>
      <vt:variant>
        <vt:i4>5</vt:i4>
      </vt:variant>
      <vt:variant>
        <vt:lpwstr/>
      </vt:variant>
      <vt:variant>
        <vt:lpwstr>_Toc41472963</vt:lpwstr>
      </vt:variant>
      <vt:variant>
        <vt:i4>1703988</vt:i4>
      </vt:variant>
      <vt:variant>
        <vt:i4>92</vt:i4>
      </vt:variant>
      <vt:variant>
        <vt:i4>0</vt:i4>
      </vt:variant>
      <vt:variant>
        <vt:i4>5</vt:i4>
      </vt:variant>
      <vt:variant>
        <vt:lpwstr/>
      </vt:variant>
      <vt:variant>
        <vt:lpwstr>_Toc41472962</vt:lpwstr>
      </vt:variant>
      <vt:variant>
        <vt:i4>1638452</vt:i4>
      </vt:variant>
      <vt:variant>
        <vt:i4>86</vt:i4>
      </vt:variant>
      <vt:variant>
        <vt:i4>0</vt:i4>
      </vt:variant>
      <vt:variant>
        <vt:i4>5</vt:i4>
      </vt:variant>
      <vt:variant>
        <vt:lpwstr/>
      </vt:variant>
      <vt:variant>
        <vt:lpwstr>_Toc41472961</vt:lpwstr>
      </vt:variant>
      <vt:variant>
        <vt:i4>1572916</vt:i4>
      </vt:variant>
      <vt:variant>
        <vt:i4>80</vt:i4>
      </vt:variant>
      <vt:variant>
        <vt:i4>0</vt:i4>
      </vt:variant>
      <vt:variant>
        <vt:i4>5</vt:i4>
      </vt:variant>
      <vt:variant>
        <vt:lpwstr/>
      </vt:variant>
      <vt:variant>
        <vt:lpwstr>_Toc41472960</vt:lpwstr>
      </vt:variant>
      <vt:variant>
        <vt:i4>1114167</vt:i4>
      </vt:variant>
      <vt:variant>
        <vt:i4>74</vt:i4>
      </vt:variant>
      <vt:variant>
        <vt:i4>0</vt:i4>
      </vt:variant>
      <vt:variant>
        <vt:i4>5</vt:i4>
      </vt:variant>
      <vt:variant>
        <vt:lpwstr/>
      </vt:variant>
      <vt:variant>
        <vt:lpwstr>_Toc41472959</vt:lpwstr>
      </vt:variant>
      <vt:variant>
        <vt:i4>1048631</vt:i4>
      </vt:variant>
      <vt:variant>
        <vt:i4>68</vt:i4>
      </vt:variant>
      <vt:variant>
        <vt:i4>0</vt:i4>
      </vt:variant>
      <vt:variant>
        <vt:i4>5</vt:i4>
      </vt:variant>
      <vt:variant>
        <vt:lpwstr/>
      </vt:variant>
      <vt:variant>
        <vt:lpwstr>_Toc41472958</vt:lpwstr>
      </vt:variant>
      <vt:variant>
        <vt:i4>2031671</vt:i4>
      </vt:variant>
      <vt:variant>
        <vt:i4>62</vt:i4>
      </vt:variant>
      <vt:variant>
        <vt:i4>0</vt:i4>
      </vt:variant>
      <vt:variant>
        <vt:i4>5</vt:i4>
      </vt:variant>
      <vt:variant>
        <vt:lpwstr/>
      </vt:variant>
      <vt:variant>
        <vt:lpwstr>_Toc41472957</vt:lpwstr>
      </vt:variant>
      <vt:variant>
        <vt:i4>1966135</vt:i4>
      </vt:variant>
      <vt:variant>
        <vt:i4>56</vt:i4>
      </vt:variant>
      <vt:variant>
        <vt:i4>0</vt:i4>
      </vt:variant>
      <vt:variant>
        <vt:i4>5</vt:i4>
      </vt:variant>
      <vt:variant>
        <vt:lpwstr/>
      </vt:variant>
      <vt:variant>
        <vt:lpwstr>_Toc41472956</vt:lpwstr>
      </vt:variant>
      <vt:variant>
        <vt:i4>1900599</vt:i4>
      </vt:variant>
      <vt:variant>
        <vt:i4>50</vt:i4>
      </vt:variant>
      <vt:variant>
        <vt:i4>0</vt:i4>
      </vt:variant>
      <vt:variant>
        <vt:i4>5</vt:i4>
      </vt:variant>
      <vt:variant>
        <vt:lpwstr/>
      </vt:variant>
      <vt:variant>
        <vt:lpwstr>_Toc41472955</vt:lpwstr>
      </vt:variant>
      <vt:variant>
        <vt:i4>1835063</vt:i4>
      </vt:variant>
      <vt:variant>
        <vt:i4>44</vt:i4>
      </vt:variant>
      <vt:variant>
        <vt:i4>0</vt:i4>
      </vt:variant>
      <vt:variant>
        <vt:i4>5</vt:i4>
      </vt:variant>
      <vt:variant>
        <vt:lpwstr/>
      </vt:variant>
      <vt:variant>
        <vt:lpwstr>_Toc41472954</vt:lpwstr>
      </vt:variant>
      <vt:variant>
        <vt:i4>1769527</vt:i4>
      </vt:variant>
      <vt:variant>
        <vt:i4>38</vt:i4>
      </vt:variant>
      <vt:variant>
        <vt:i4>0</vt:i4>
      </vt:variant>
      <vt:variant>
        <vt:i4>5</vt:i4>
      </vt:variant>
      <vt:variant>
        <vt:lpwstr/>
      </vt:variant>
      <vt:variant>
        <vt:lpwstr>_Toc41472953</vt:lpwstr>
      </vt:variant>
      <vt:variant>
        <vt:i4>1703991</vt:i4>
      </vt:variant>
      <vt:variant>
        <vt:i4>32</vt:i4>
      </vt:variant>
      <vt:variant>
        <vt:i4>0</vt:i4>
      </vt:variant>
      <vt:variant>
        <vt:i4>5</vt:i4>
      </vt:variant>
      <vt:variant>
        <vt:lpwstr/>
      </vt:variant>
      <vt:variant>
        <vt:lpwstr>_Toc41472952</vt:lpwstr>
      </vt:variant>
      <vt:variant>
        <vt:i4>1638455</vt:i4>
      </vt:variant>
      <vt:variant>
        <vt:i4>26</vt:i4>
      </vt:variant>
      <vt:variant>
        <vt:i4>0</vt:i4>
      </vt:variant>
      <vt:variant>
        <vt:i4>5</vt:i4>
      </vt:variant>
      <vt:variant>
        <vt:lpwstr/>
      </vt:variant>
      <vt:variant>
        <vt:lpwstr>_Toc41472951</vt:lpwstr>
      </vt:variant>
      <vt:variant>
        <vt:i4>1572919</vt:i4>
      </vt:variant>
      <vt:variant>
        <vt:i4>20</vt:i4>
      </vt:variant>
      <vt:variant>
        <vt:i4>0</vt:i4>
      </vt:variant>
      <vt:variant>
        <vt:i4>5</vt:i4>
      </vt:variant>
      <vt:variant>
        <vt:lpwstr/>
      </vt:variant>
      <vt:variant>
        <vt:lpwstr>_Toc41472950</vt:lpwstr>
      </vt:variant>
      <vt:variant>
        <vt:i4>1114166</vt:i4>
      </vt:variant>
      <vt:variant>
        <vt:i4>14</vt:i4>
      </vt:variant>
      <vt:variant>
        <vt:i4>0</vt:i4>
      </vt:variant>
      <vt:variant>
        <vt:i4>5</vt:i4>
      </vt:variant>
      <vt:variant>
        <vt:lpwstr/>
      </vt:variant>
      <vt:variant>
        <vt:lpwstr>_Toc41472949</vt:lpwstr>
      </vt:variant>
      <vt:variant>
        <vt:i4>1048630</vt:i4>
      </vt:variant>
      <vt:variant>
        <vt:i4>8</vt:i4>
      </vt:variant>
      <vt:variant>
        <vt:i4>0</vt:i4>
      </vt:variant>
      <vt:variant>
        <vt:i4>5</vt:i4>
      </vt:variant>
      <vt:variant>
        <vt:lpwstr/>
      </vt:variant>
      <vt:variant>
        <vt:lpwstr>_Toc41472948</vt:lpwstr>
      </vt:variant>
      <vt:variant>
        <vt:i4>2031670</vt:i4>
      </vt:variant>
      <vt:variant>
        <vt:i4>2</vt:i4>
      </vt:variant>
      <vt:variant>
        <vt:i4>0</vt:i4>
      </vt:variant>
      <vt:variant>
        <vt:i4>5</vt:i4>
      </vt:variant>
      <vt:variant>
        <vt:lpwstr/>
      </vt:variant>
      <vt:variant>
        <vt:lpwstr>_Toc41472947</vt:lpwstr>
      </vt:variant>
      <vt:variant>
        <vt:i4>4587611</vt:i4>
      </vt:variant>
      <vt:variant>
        <vt:i4>111</vt:i4>
      </vt:variant>
      <vt:variant>
        <vt:i4>0</vt:i4>
      </vt:variant>
      <vt:variant>
        <vt:i4>5</vt:i4>
      </vt:variant>
      <vt:variant>
        <vt:lpwstr>https://www.ombudsman.vic.gov.au/News/Media-Releases/imprisonment-of-woman-found-unfit-to-stand-trial</vt:lpwstr>
      </vt:variant>
      <vt:variant>
        <vt:lpwstr/>
      </vt:variant>
      <vt:variant>
        <vt:i4>5767246</vt:i4>
      </vt:variant>
      <vt:variant>
        <vt:i4>108</vt:i4>
      </vt:variant>
      <vt:variant>
        <vt:i4>0</vt:i4>
      </vt:variant>
      <vt:variant>
        <vt:i4>5</vt:i4>
      </vt:variant>
      <vt:variant>
        <vt:lpwstr>https://www.audit.vic.gov.au/sites/default/files/2018-08/20180808-Youth-Detention.pdf</vt:lpwstr>
      </vt:variant>
      <vt:variant>
        <vt:lpwstr/>
      </vt:variant>
      <vt:variant>
        <vt:i4>720927</vt:i4>
      </vt:variant>
      <vt:variant>
        <vt:i4>102</vt:i4>
      </vt:variant>
      <vt:variant>
        <vt:i4>0</vt:i4>
      </vt:variant>
      <vt:variant>
        <vt:i4>5</vt:i4>
      </vt:variant>
      <vt:variant>
        <vt:lpwstr>https://www.bbc.com/news/uk-46847162</vt:lpwstr>
      </vt:variant>
      <vt:variant>
        <vt:lpwstr/>
      </vt:variant>
      <vt:variant>
        <vt:i4>5767261</vt:i4>
      </vt:variant>
      <vt:variant>
        <vt:i4>99</vt:i4>
      </vt:variant>
      <vt:variant>
        <vt:i4>0</vt:i4>
      </vt:variant>
      <vt:variant>
        <vt:i4>5</vt:i4>
      </vt:variant>
      <vt:variant>
        <vt:lpwstr>https://www.pc.gov.au/research/ongoing/report-on-government-services/2020/justice</vt:lpwstr>
      </vt:variant>
      <vt:variant>
        <vt:lpwstr/>
      </vt:variant>
      <vt:variant>
        <vt:i4>917521</vt:i4>
      </vt:variant>
      <vt:variant>
        <vt:i4>96</vt:i4>
      </vt:variant>
      <vt:variant>
        <vt:i4>0</vt:i4>
      </vt:variant>
      <vt:variant>
        <vt:i4>5</vt:i4>
      </vt:variant>
      <vt:variant>
        <vt:lpwstr>https://www.mcv.vic.gov.au/find-support/bail-support-cisp</vt:lpwstr>
      </vt:variant>
      <vt:variant>
        <vt:lpwstr/>
      </vt:variant>
      <vt:variant>
        <vt:i4>2293799</vt:i4>
      </vt:variant>
      <vt:variant>
        <vt:i4>93</vt:i4>
      </vt:variant>
      <vt:variant>
        <vt:i4>0</vt:i4>
      </vt:variant>
      <vt:variant>
        <vt:i4>5</vt:i4>
      </vt:variant>
      <vt:variant>
        <vt:lpwstr>https://www.crimestatistics.vic.gov.au/sites/default/files/embridge_cache/emshare/original/public/2017/09/7f/e1e924c80/20170925_in brief9 FINAL.pdf</vt:lpwstr>
      </vt:variant>
      <vt:variant>
        <vt:lpwstr/>
      </vt:variant>
      <vt:variant>
        <vt:i4>1769586</vt:i4>
      </vt:variant>
      <vt:variant>
        <vt:i4>90</vt:i4>
      </vt:variant>
      <vt:variant>
        <vt:i4>0</vt:i4>
      </vt:variant>
      <vt:variant>
        <vt:i4>5</vt:i4>
      </vt:variant>
      <vt:variant>
        <vt:lpwstr>https://www.abs.gov.au/AUSSTATS/abs@.nsf/DetailsPage/4519.02018-19?OpenDocument</vt:lpwstr>
      </vt:variant>
      <vt:variant>
        <vt:lpwstr/>
      </vt:variant>
      <vt:variant>
        <vt:i4>6226046</vt:i4>
      </vt:variant>
      <vt:variant>
        <vt:i4>87</vt:i4>
      </vt:variant>
      <vt:variant>
        <vt:i4>0</vt:i4>
      </vt:variant>
      <vt:variant>
        <vt:i4>5</vt:i4>
      </vt:variant>
      <vt:variant>
        <vt:lpwstr>https://www.sentencingcouncil.vic.gov.au/sites/default/files/2019-08/Reoffending_by_Children_and_Young_People_in_Victoria.pdf</vt:lpwstr>
      </vt:variant>
      <vt:variant>
        <vt:lpwstr/>
      </vt:variant>
      <vt:variant>
        <vt:i4>7405621</vt:i4>
      </vt:variant>
      <vt:variant>
        <vt:i4>84</vt:i4>
      </vt:variant>
      <vt:variant>
        <vt:i4>0</vt:i4>
      </vt:variant>
      <vt:variant>
        <vt:i4>5</vt:i4>
      </vt:variant>
      <vt:variant>
        <vt:lpwstr>https://www.legalaid.vic.gov.au/about-us/strategic-advocacy-and-law-reform/other-activities</vt:lpwstr>
      </vt:variant>
      <vt:variant>
        <vt:lpwstr>criminal-responsibility-feb-2020</vt:lpwstr>
      </vt:variant>
      <vt:variant>
        <vt:i4>3932195</vt:i4>
      </vt:variant>
      <vt:variant>
        <vt:i4>81</vt:i4>
      </vt:variant>
      <vt:variant>
        <vt:i4>0</vt:i4>
      </vt:variant>
      <vt:variant>
        <vt:i4>5</vt:i4>
      </vt:variant>
      <vt:variant>
        <vt:lpwstr>https://www.humanrights.gov.au/our-work/sex-discrimination/publications/respectwork-sexual-harassment-national-inquiry-report-2020</vt:lpwstr>
      </vt:variant>
      <vt:variant>
        <vt:lpwstr/>
      </vt:variant>
      <vt:variant>
        <vt:i4>1900622</vt:i4>
      </vt:variant>
      <vt:variant>
        <vt:i4>78</vt:i4>
      </vt:variant>
      <vt:variant>
        <vt:i4>0</vt:i4>
      </vt:variant>
      <vt:variant>
        <vt:i4>5</vt:i4>
      </vt:variant>
      <vt:variant>
        <vt:lpwstr>https://www.legalaid.vic.gov.au/node/610</vt:lpwstr>
      </vt:variant>
      <vt:variant>
        <vt:lpwstr>dame-phyllis</vt:lpwstr>
      </vt:variant>
      <vt:variant>
        <vt:i4>3801118</vt:i4>
      </vt:variant>
      <vt:variant>
        <vt:i4>75</vt:i4>
      </vt:variant>
      <vt:variant>
        <vt:i4>0</vt:i4>
      </vt:variant>
      <vt:variant>
        <vt:i4>5</vt:i4>
      </vt:variant>
      <vt:variant>
        <vt:lpwstr>https://www.churchilltrust.com.au/media/fellows/Caruana_S_2017_inspection_methodologies_for_oversight_bodies_with_an_OPCAT_focus.pdf</vt:lpwstr>
      </vt:variant>
      <vt:variant>
        <vt:lpwstr/>
      </vt:variant>
      <vt:variant>
        <vt:i4>3080279</vt:i4>
      </vt:variant>
      <vt:variant>
        <vt:i4>72</vt:i4>
      </vt:variant>
      <vt:variant>
        <vt:i4>0</vt:i4>
      </vt:variant>
      <vt:variant>
        <vt:i4>5</vt:i4>
      </vt:variant>
      <vt:variant>
        <vt:lpwstr>https://tbinternet.ohchr.org/_layouts/15/treatybodyexternal/Download.aspx?symbolno=CRPD/C/AUS/CO/2-3&amp;Lang=en</vt:lpwstr>
      </vt:variant>
      <vt:variant>
        <vt:lpwstr/>
      </vt:variant>
      <vt:variant>
        <vt:i4>7012438</vt:i4>
      </vt:variant>
      <vt:variant>
        <vt:i4>69</vt:i4>
      </vt:variant>
      <vt:variant>
        <vt:i4>0</vt:i4>
      </vt:variant>
      <vt:variant>
        <vt:i4>5</vt:i4>
      </vt:variant>
      <vt:variant>
        <vt:lpwstr>https://w.www.vic.gov.au/system/user_files/Documents/av/VAAF FINAL.pdf</vt:lpwstr>
      </vt:variant>
      <vt:variant>
        <vt:lpwstr/>
      </vt:variant>
      <vt:variant>
        <vt:i4>2031617</vt:i4>
      </vt:variant>
      <vt:variant>
        <vt:i4>66</vt:i4>
      </vt:variant>
      <vt:variant>
        <vt:i4>0</vt:i4>
      </vt:variant>
      <vt:variant>
        <vt:i4>5</vt:i4>
      </vt:variant>
      <vt:variant>
        <vt:lpwstr>https://engage.vic.gov.au/human-rights-charter-review</vt:lpwstr>
      </vt:variant>
      <vt:variant>
        <vt:lpwstr/>
      </vt:variant>
      <vt:variant>
        <vt:i4>6029379</vt:i4>
      </vt:variant>
      <vt:variant>
        <vt:i4>63</vt:i4>
      </vt:variant>
      <vt:variant>
        <vt:i4>0</vt:i4>
      </vt:variant>
      <vt:variant>
        <vt:i4>5</vt:i4>
      </vt:variant>
      <vt:variant>
        <vt:lpwstr>https://www.bettersafercare.vic.gov.au/sites/default/files/2019-12/Victorian Clinical Council - Diversity and cultural safety advice 2019.pdf</vt:lpwstr>
      </vt:variant>
      <vt:variant>
        <vt:lpwstr/>
      </vt:variant>
      <vt:variant>
        <vt:i4>4980818</vt:i4>
      </vt:variant>
      <vt:variant>
        <vt:i4>60</vt:i4>
      </vt:variant>
      <vt:variant>
        <vt:i4>0</vt:i4>
      </vt:variant>
      <vt:variant>
        <vt:i4>5</vt:i4>
      </vt:variant>
      <vt:variant>
        <vt:lpwstr>https://www.data.vic.gov.au/datavic-access-policy</vt:lpwstr>
      </vt:variant>
      <vt:variant>
        <vt:lpwstr/>
      </vt:variant>
      <vt:variant>
        <vt:i4>3604538</vt:i4>
      </vt:variant>
      <vt:variant>
        <vt:i4>57</vt:i4>
      </vt:variant>
      <vt:variant>
        <vt:i4>0</vt:i4>
      </vt:variant>
      <vt:variant>
        <vt:i4>5</vt:i4>
      </vt:variant>
      <vt:variant>
        <vt:lpwstr>https://www.mht.vic.gov.au/sites/default/files/documents/201910/MHT-2018-2019-Annual-Report.pdf</vt:lpwstr>
      </vt:variant>
      <vt:variant>
        <vt:lpwstr/>
      </vt:variant>
      <vt:variant>
        <vt:i4>7667737</vt:i4>
      </vt:variant>
      <vt:variant>
        <vt:i4>54</vt:i4>
      </vt:variant>
      <vt:variant>
        <vt:i4>0</vt:i4>
      </vt:variant>
      <vt:variant>
        <vt:i4>5</vt:i4>
      </vt:variant>
      <vt:variant>
        <vt:lpwstr>https://www.ranzcp.org/files/resources/college_statements/mental-health-legislation-tables/powers-and-duties-of-psychiatrists-in-australian-a.aspx</vt:lpwstr>
      </vt:variant>
      <vt:variant>
        <vt:lpwstr/>
      </vt:variant>
      <vt:variant>
        <vt:i4>2818090</vt:i4>
      </vt:variant>
      <vt:variant>
        <vt:i4>51</vt:i4>
      </vt:variant>
      <vt:variant>
        <vt:i4>0</vt:i4>
      </vt:variant>
      <vt:variant>
        <vt:i4>5</vt:i4>
      </vt:variant>
      <vt:variant>
        <vt:lpwstr>https://www.legalaid.vic.gov.au/about-us/strategic-advocacy-and-law-reform/other-activities</vt:lpwstr>
      </vt:variant>
      <vt:variant>
        <vt:lpwstr>it-starts-in-the-home</vt:lpwstr>
      </vt:variant>
      <vt:variant>
        <vt:i4>7536667</vt:i4>
      </vt:variant>
      <vt:variant>
        <vt:i4>48</vt:i4>
      </vt:variant>
      <vt:variant>
        <vt:i4>0</vt:i4>
      </vt:variant>
      <vt:variant>
        <vt:i4>5</vt:i4>
      </vt:variant>
      <vt:variant>
        <vt:lpwstr>https://www.who.int/mental_health/media/en/242.pdf?ua=1</vt:lpwstr>
      </vt:variant>
      <vt:variant>
        <vt:lpwstr/>
      </vt:variant>
      <vt:variant>
        <vt:i4>5308445</vt:i4>
      </vt:variant>
      <vt:variant>
        <vt:i4>45</vt:i4>
      </vt:variant>
      <vt:variant>
        <vt:i4>0</vt:i4>
      </vt:variant>
      <vt:variant>
        <vt:i4>5</vt:i4>
      </vt:variant>
      <vt:variant>
        <vt:lpwstr>https://www.mcm.org.au/justice/the-atrium-housing-and-support-program</vt:lpwstr>
      </vt:variant>
      <vt:variant>
        <vt:lpwstr/>
      </vt:variant>
      <vt:variant>
        <vt:i4>1114124</vt:i4>
      </vt:variant>
      <vt:variant>
        <vt:i4>42</vt:i4>
      </vt:variant>
      <vt:variant>
        <vt:i4>0</vt:i4>
      </vt:variant>
      <vt:variant>
        <vt:i4>5</vt:i4>
      </vt:variant>
      <vt:variant>
        <vt:lpwstr>https://www.legalaid.vic.gov.au/sites/www.legalaid.vic.gov.au/files/vla-submission-putting-people-first-removing-barriers-for-people-with-disability-to-access-ndis-supports-11-2019.pdf</vt:lpwstr>
      </vt:variant>
      <vt:variant>
        <vt:lpwstr/>
      </vt:variant>
      <vt:variant>
        <vt:i4>655432</vt:i4>
      </vt:variant>
      <vt:variant>
        <vt:i4>39</vt:i4>
      </vt:variant>
      <vt:variant>
        <vt:i4>0</vt:i4>
      </vt:variant>
      <vt:variant>
        <vt:i4>5</vt:i4>
      </vt:variant>
      <vt:variant>
        <vt:lpwstr>http://www.legalaid.vic.gov.au/sites/www.legalaid.vic.gov.au/files/vla-submission-to-the-ndis-thin-markets-project-june-2019.docx</vt:lpwstr>
      </vt:variant>
      <vt:variant>
        <vt:lpwstr/>
      </vt:variant>
      <vt:variant>
        <vt:i4>7471230</vt:i4>
      </vt:variant>
      <vt:variant>
        <vt:i4>36</vt:i4>
      </vt:variant>
      <vt:variant>
        <vt:i4>0</vt:i4>
      </vt:variant>
      <vt:variant>
        <vt:i4>5</vt:i4>
      </vt:variant>
      <vt:variant>
        <vt:lpwstr>https://www.audit.vic.gov.au/report/access-mental-health-services?section=33107--3-understanding-and-meeting-demand</vt:lpwstr>
      </vt:variant>
      <vt:variant>
        <vt:lpwstr/>
      </vt:variant>
      <vt:variant>
        <vt:i4>2097167</vt:i4>
      </vt:variant>
      <vt:variant>
        <vt:i4>33</vt:i4>
      </vt:variant>
      <vt:variant>
        <vt:i4>0</vt:i4>
      </vt:variant>
      <vt:variant>
        <vt:i4>5</vt:i4>
      </vt:variant>
      <vt:variant>
        <vt:lpwstr>https://apps.who.int/iris/bitstream/handle/10665/112828/9789241506809_eng.pdf</vt:lpwstr>
      </vt:variant>
      <vt:variant>
        <vt:lpwstr/>
      </vt:variant>
      <vt:variant>
        <vt:i4>7143523</vt:i4>
      </vt:variant>
      <vt:variant>
        <vt:i4>30</vt:i4>
      </vt:variant>
      <vt:variant>
        <vt:i4>0</vt:i4>
      </vt:variant>
      <vt:variant>
        <vt:i4>5</vt:i4>
      </vt:variant>
      <vt:variant>
        <vt:lpwstr>https://www2.health.vic.gov.au/about/publications/policiesandguidelines/commitment-family-violence-learning-agenda</vt:lpwstr>
      </vt:variant>
      <vt:variant>
        <vt:lpwstr/>
      </vt:variant>
      <vt:variant>
        <vt:i4>7405630</vt:i4>
      </vt:variant>
      <vt:variant>
        <vt:i4>27</vt:i4>
      </vt:variant>
      <vt:variant>
        <vt:i4>0</vt:i4>
      </vt:variant>
      <vt:variant>
        <vt:i4>5</vt:i4>
      </vt:variant>
      <vt:variant>
        <vt:lpwstr>https://www.publicadvocate.vic.gov.au/resources/annual-reports/community-visitors-annual-reports/637-opa-cv-annual-report-2018-19/file</vt:lpwstr>
      </vt:variant>
      <vt:variant>
        <vt:lpwstr/>
      </vt:variant>
      <vt:variant>
        <vt:i4>4522078</vt:i4>
      </vt:variant>
      <vt:variant>
        <vt:i4>24</vt:i4>
      </vt:variant>
      <vt:variant>
        <vt:i4>0</vt:i4>
      </vt:variant>
      <vt:variant>
        <vt:i4>5</vt:i4>
      </vt:variant>
      <vt:variant>
        <vt:lpwstr>https://www.legalaid.vic.gov.au/sites/www.legalaid.vic.gov.au/files/vla-letter-responding-to-question-on-notice-30-july-2019-redacted.pdf</vt:lpwstr>
      </vt:variant>
      <vt:variant>
        <vt:lpwstr/>
      </vt:variant>
      <vt:variant>
        <vt:i4>4522078</vt:i4>
      </vt:variant>
      <vt:variant>
        <vt:i4>21</vt:i4>
      </vt:variant>
      <vt:variant>
        <vt:i4>0</vt:i4>
      </vt:variant>
      <vt:variant>
        <vt:i4>5</vt:i4>
      </vt:variant>
      <vt:variant>
        <vt:lpwstr>https://www.legalaid.vic.gov.au/sites/www.legalaid.vic.gov.au/files/vla-letter-responding-to-question-on-notice-30-july-2019-redacted.pdf</vt:lpwstr>
      </vt:variant>
      <vt:variant>
        <vt:lpwstr/>
      </vt:variant>
      <vt:variant>
        <vt:i4>3735606</vt:i4>
      </vt:variant>
      <vt:variant>
        <vt:i4>18</vt:i4>
      </vt:variant>
      <vt:variant>
        <vt:i4>0</vt:i4>
      </vt:variant>
      <vt:variant>
        <vt:i4>5</vt:i4>
      </vt:variant>
      <vt:variant>
        <vt:lpwstr>https://www.legalaid.vic.gov.au/sites/www.legalaid.vic.gov.au/files/vla-answers-to-productivity-commission-questions-on-mental-health.docx</vt:lpwstr>
      </vt:variant>
      <vt:variant>
        <vt:lpwstr/>
      </vt:variant>
      <vt:variant>
        <vt:i4>4325469</vt:i4>
      </vt:variant>
      <vt:variant>
        <vt:i4>15</vt:i4>
      </vt:variant>
      <vt:variant>
        <vt:i4>0</vt:i4>
      </vt:variant>
      <vt:variant>
        <vt:i4>5</vt:i4>
      </vt:variant>
      <vt:variant>
        <vt:lpwstr>https://www.vic.gov.au/victim-survivors-advisory-council</vt:lpwstr>
      </vt:variant>
      <vt:variant>
        <vt:lpwstr/>
      </vt:variant>
      <vt:variant>
        <vt:i4>2687096</vt:i4>
      </vt:variant>
      <vt:variant>
        <vt:i4>12</vt:i4>
      </vt:variant>
      <vt:variant>
        <vt:i4>0</vt:i4>
      </vt:variant>
      <vt:variant>
        <vt:i4>5</vt:i4>
      </vt:variant>
      <vt:variant>
        <vt:lpwstr>https://cmhl.org.au/sites/default/files/resources-pdfs/Consumer-Workforce-Strategy-web.pdf</vt:lpwstr>
      </vt:variant>
      <vt:variant>
        <vt:lpwstr/>
      </vt:variant>
      <vt:variant>
        <vt:i4>5177432</vt:i4>
      </vt:variant>
      <vt:variant>
        <vt:i4>9</vt:i4>
      </vt:variant>
      <vt:variant>
        <vt:i4>0</vt:i4>
      </vt:variant>
      <vt:variant>
        <vt:i4>5</vt:i4>
      </vt:variant>
      <vt:variant>
        <vt:lpwstr>https://www2.health.vic.gov.au/about/publications/policiesandguidelines/Community-advisory-committee-guidelines%C2%A0</vt:lpwstr>
      </vt:variant>
      <vt:variant>
        <vt:lpwstr/>
      </vt:variant>
      <vt:variant>
        <vt:i4>1900562</vt:i4>
      </vt:variant>
      <vt:variant>
        <vt:i4>6</vt:i4>
      </vt:variant>
      <vt:variant>
        <vt:i4>0</vt:i4>
      </vt:variant>
      <vt:variant>
        <vt:i4>5</vt:i4>
      </vt:variant>
      <vt:variant>
        <vt:lpwstr>https://www.legalaid.vic.gov.au/about-us/our-organisation/how-we-are-improving-our-services/client-first-strategy</vt:lpwstr>
      </vt:variant>
      <vt:variant>
        <vt:lpwstr/>
      </vt:variant>
      <vt:variant>
        <vt:i4>5111839</vt:i4>
      </vt:variant>
      <vt:variant>
        <vt:i4>3</vt:i4>
      </vt:variant>
      <vt:variant>
        <vt:i4>0</vt:i4>
      </vt:variant>
      <vt:variant>
        <vt:i4>5</vt:i4>
      </vt:variant>
      <vt:variant>
        <vt:lpwstr>https://www.imha.vic.gov.au/about-us/news/imha-wins-top-award-for-leadership-in-mental-health</vt:lpwstr>
      </vt:variant>
      <vt:variant>
        <vt:lpwstr/>
      </vt:variant>
      <vt:variant>
        <vt:i4>5308423</vt:i4>
      </vt:variant>
      <vt:variant>
        <vt:i4>0</vt:i4>
      </vt:variant>
      <vt:variant>
        <vt:i4>0</vt:i4>
      </vt:variant>
      <vt:variant>
        <vt:i4>5</vt:i4>
      </vt:variant>
      <vt:variant>
        <vt:lpwstr>https://recoverylibrary.unimelb.edu.au/__data/assets/pdf_file/0010/2659969/Coproduction_putting-principles-into-practice.pdf</vt:lpwstr>
      </vt:variant>
      <vt:variant>
        <vt:lpwstr/>
      </vt:variant>
      <vt:variant>
        <vt:i4>6881286</vt:i4>
      </vt:variant>
      <vt:variant>
        <vt:i4>30</vt:i4>
      </vt:variant>
      <vt:variant>
        <vt:i4>0</vt:i4>
      </vt:variant>
      <vt:variant>
        <vt:i4>5</vt:i4>
      </vt:variant>
      <vt:variant>
        <vt:lpwstr>mailto:Prita.JoblingBaker@vla.vic.gov.au</vt:lpwstr>
      </vt:variant>
      <vt:variant>
        <vt:lpwstr/>
      </vt:variant>
      <vt:variant>
        <vt:i4>131171</vt:i4>
      </vt:variant>
      <vt:variant>
        <vt:i4>27</vt:i4>
      </vt:variant>
      <vt:variant>
        <vt:i4>0</vt:i4>
      </vt:variant>
      <vt:variant>
        <vt:i4>5</vt:i4>
      </vt:variant>
      <vt:variant>
        <vt:lpwstr>mailto:naomi.goldwater@vla.vic.gov.au</vt:lpwstr>
      </vt:variant>
      <vt:variant>
        <vt:lpwstr/>
      </vt:variant>
      <vt:variant>
        <vt:i4>131171</vt:i4>
      </vt:variant>
      <vt:variant>
        <vt:i4>24</vt:i4>
      </vt:variant>
      <vt:variant>
        <vt:i4>0</vt:i4>
      </vt:variant>
      <vt:variant>
        <vt:i4>5</vt:i4>
      </vt:variant>
      <vt:variant>
        <vt:lpwstr>mailto:naomi.goldwater@vla.vic.gov.au</vt:lpwstr>
      </vt:variant>
      <vt:variant>
        <vt:lpwstr/>
      </vt:variant>
      <vt:variant>
        <vt:i4>131171</vt:i4>
      </vt:variant>
      <vt:variant>
        <vt:i4>21</vt:i4>
      </vt:variant>
      <vt:variant>
        <vt:i4>0</vt:i4>
      </vt:variant>
      <vt:variant>
        <vt:i4>5</vt:i4>
      </vt:variant>
      <vt:variant>
        <vt:lpwstr>mailto:naomi.goldwater@vla.vic.gov.au</vt:lpwstr>
      </vt:variant>
      <vt:variant>
        <vt:lpwstr/>
      </vt:variant>
      <vt:variant>
        <vt:i4>7798791</vt:i4>
      </vt:variant>
      <vt:variant>
        <vt:i4>18</vt:i4>
      </vt:variant>
      <vt:variant>
        <vt:i4>0</vt:i4>
      </vt:variant>
      <vt:variant>
        <vt:i4>5</vt:i4>
      </vt:variant>
      <vt:variant>
        <vt:lpwstr>mailto:Sonia.Law@vla.vic.gov.au</vt:lpwstr>
      </vt:variant>
      <vt:variant>
        <vt:lpwstr/>
      </vt:variant>
      <vt:variant>
        <vt:i4>131171</vt:i4>
      </vt:variant>
      <vt:variant>
        <vt:i4>15</vt:i4>
      </vt:variant>
      <vt:variant>
        <vt:i4>0</vt:i4>
      </vt:variant>
      <vt:variant>
        <vt:i4>5</vt:i4>
      </vt:variant>
      <vt:variant>
        <vt:lpwstr>mailto:naomi.goldwater@vla.vic.gov.au</vt:lpwstr>
      </vt:variant>
      <vt:variant>
        <vt:lpwstr/>
      </vt:variant>
      <vt:variant>
        <vt:i4>6422553</vt:i4>
      </vt:variant>
      <vt:variant>
        <vt:i4>12</vt:i4>
      </vt:variant>
      <vt:variant>
        <vt:i4>0</vt:i4>
      </vt:variant>
      <vt:variant>
        <vt:i4>5</vt:i4>
      </vt:variant>
      <vt:variant>
        <vt:lpwstr>mailto:Lee.Carnie@vla.vic.gov.au</vt:lpwstr>
      </vt:variant>
      <vt:variant>
        <vt:lpwstr/>
      </vt:variant>
      <vt:variant>
        <vt:i4>6422553</vt:i4>
      </vt:variant>
      <vt:variant>
        <vt:i4>9</vt:i4>
      </vt:variant>
      <vt:variant>
        <vt:i4>0</vt:i4>
      </vt:variant>
      <vt:variant>
        <vt:i4>5</vt:i4>
      </vt:variant>
      <vt:variant>
        <vt:lpwstr>mailto:Lee.Carnie@vla.vic.gov.au</vt:lpwstr>
      </vt:variant>
      <vt:variant>
        <vt:lpwstr/>
      </vt:variant>
      <vt:variant>
        <vt:i4>131171</vt:i4>
      </vt:variant>
      <vt:variant>
        <vt:i4>6</vt:i4>
      </vt:variant>
      <vt:variant>
        <vt:i4>0</vt:i4>
      </vt:variant>
      <vt:variant>
        <vt:i4>5</vt:i4>
      </vt:variant>
      <vt:variant>
        <vt:lpwstr>mailto:naomi.goldwater@vla.vic.gov.au</vt:lpwstr>
      </vt:variant>
      <vt:variant>
        <vt:lpwstr/>
      </vt:variant>
      <vt:variant>
        <vt:i4>131171</vt:i4>
      </vt:variant>
      <vt:variant>
        <vt:i4>3</vt:i4>
      </vt:variant>
      <vt:variant>
        <vt:i4>0</vt:i4>
      </vt:variant>
      <vt:variant>
        <vt:i4>5</vt:i4>
      </vt:variant>
      <vt:variant>
        <vt:lpwstr>mailto:naomi.goldwater@vla.vic.gov.au</vt:lpwstr>
      </vt:variant>
      <vt:variant>
        <vt:lpwstr/>
      </vt:variant>
      <vt:variant>
        <vt:i4>6422553</vt:i4>
      </vt:variant>
      <vt:variant>
        <vt:i4>0</vt:i4>
      </vt:variant>
      <vt:variant>
        <vt:i4>0</vt:i4>
      </vt:variant>
      <vt:variant>
        <vt:i4>5</vt:i4>
      </vt:variant>
      <vt:variant>
        <vt:lpwstr>mailto:Lee.Carnie@vla.vic.gov.au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Paving the roads to recovery - recommendations for the Royal Commission into Victoria's Mental Health System</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0x01010001D8A0CA9E5FFF4B80B44101E7E0DFC2</vt:lpwstr>
  </op:property>
  <op:property fmtid="{D5CDD505-2E9C-101B-9397-08002B2CF9AE}" pid="4" name="_MarkAsFinal">
    <vt:bool>true</vt:bool>
  </op:property>
</op:Properties>
</file>