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202B2" w14:textId="77777777" w:rsidR="00DA6E11" w:rsidRDefault="00DA6E11" w:rsidP="00E6688C">
      <w:pPr>
        <w:pStyle w:val="VLAtitle"/>
      </w:pPr>
      <w:r>
        <w:t>Submission to the Office of the High Commissioner for Human Rights</w:t>
      </w:r>
      <w:bookmarkStart w:id="0" w:name="_GoBack"/>
      <w:bookmarkEnd w:id="0"/>
    </w:p>
    <w:p w14:paraId="714E3BD8" w14:textId="77777777" w:rsidR="00E6688C" w:rsidRDefault="00DA6E11" w:rsidP="00E6688C">
      <w:pPr>
        <w:pStyle w:val="VLAsubtitle"/>
      </w:pPr>
      <w:r>
        <w:t>Article 13 – Access to Justice, Convention on the Rights of Persons with Disabilities</w:t>
      </w:r>
    </w:p>
    <w:p w14:paraId="615AD28A" w14:textId="77777777" w:rsidR="00E6688C" w:rsidRDefault="00546505" w:rsidP="00E6688C">
      <w:pPr>
        <w:pStyle w:val="VLAdate"/>
      </w:pPr>
      <w:r>
        <w:t>10</w:t>
      </w:r>
      <w:r w:rsidR="00DA6E11">
        <w:t xml:space="preserve"> May 2017</w:t>
      </w:r>
    </w:p>
    <w:p w14:paraId="744BE8BF" w14:textId="77777777" w:rsidR="00CC0C03" w:rsidRDefault="00CC0C03" w:rsidP="00CC0C03"/>
    <w:p w14:paraId="1F2CE7D1" w14:textId="77777777" w:rsidR="00853BDA" w:rsidRDefault="00853BDA" w:rsidP="00946548">
      <w:pPr>
        <w:sectPr w:rsidR="00853BDA" w:rsidSect="00DA29C4">
          <w:headerReference w:type="even" r:id="rId8"/>
          <w:headerReference w:type="default" r:id="rId9"/>
          <w:footerReference w:type="default" r:id="rId10"/>
          <w:headerReference w:type="first" r:id="rId11"/>
          <w:footerReference w:type="first" r:id="rId12"/>
          <w:type w:val="oddPage"/>
          <w:pgSz w:w="11906" w:h="16838" w:code="9"/>
          <w:pgMar w:top="1418" w:right="992" w:bottom="3969" w:left="1134" w:header="851" w:footer="2835" w:gutter="0"/>
          <w:paperSrc w:first="7" w:other="7"/>
          <w:cols w:space="720"/>
          <w:titlePg/>
          <w:docGrid w:linePitch="299"/>
        </w:sectPr>
      </w:pPr>
    </w:p>
    <w:p w14:paraId="18C5FD4B" w14:textId="69A017AF" w:rsidR="00E52D83" w:rsidRDefault="002A7402" w:rsidP="008F0579">
      <w:pPr>
        <w:pStyle w:val="Confidentialityclause"/>
        <w:spacing w:before="12300"/>
        <w:rPr>
          <w:bCs w:val="0"/>
        </w:rPr>
      </w:pPr>
      <w:r w:rsidRPr="005D5637">
        <w:rPr>
          <w:rFonts w:cs="Arial"/>
          <w:color w:val="971A4B"/>
        </w:rPr>
        <w:lastRenderedPageBreak/>
        <w:t>©</w:t>
      </w:r>
      <w:r w:rsidRPr="005D5637">
        <w:rPr>
          <w:color w:val="971A4B"/>
        </w:rPr>
        <w:t xml:space="preserve"> </w:t>
      </w:r>
      <w:r w:rsidRPr="005D5637">
        <w:rPr>
          <w:color w:val="971A4B"/>
        </w:rPr>
        <w:fldChar w:fldCharType="begin"/>
      </w:r>
      <w:r w:rsidRPr="005D5637">
        <w:rPr>
          <w:color w:val="971A4B"/>
        </w:rPr>
        <w:instrText xml:space="preserve"> DATE  \@ "yyyy"  \* MERGEFORMAT </w:instrText>
      </w:r>
      <w:r w:rsidRPr="005D5637">
        <w:rPr>
          <w:color w:val="971A4B"/>
        </w:rPr>
        <w:fldChar w:fldCharType="separate"/>
      </w:r>
      <w:r w:rsidR="004D0D07">
        <w:rPr>
          <w:noProof/>
          <w:color w:val="971A4B"/>
        </w:rPr>
        <w:t>2017</w:t>
      </w:r>
      <w:r w:rsidRPr="005D5637">
        <w:rPr>
          <w:color w:val="971A4B"/>
        </w:rPr>
        <w:fldChar w:fldCharType="end"/>
      </w:r>
      <w:r w:rsidRPr="005D5637">
        <w:rPr>
          <w:color w:val="971A4B"/>
        </w:rPr>
        <w:t xml:space="preserve"> Victoria Legal Aid.</w:t>
      </w:r>
      <w:r>
        <w:t xml:space="preserve"> </w:t>
      </w:r>
      <w:r w:rsidR="006E2882" w:rsidRPr="006E2882">
        <w:rPr>
          <w:bCs w:val="0"/>
        </w:rPr>
        <w:t>Reproduction without express written permission is prohibited</w:t>
      </w:r>
      <w:r w:rsidR="00E52D83">
        <w:rPr>
          <w:bCs w:val="0"/>
        </w:rPr>
        <w:t>.</w:t>
      </w:r>
    </w:p>
    <w:p w14:paraId="7E92DAD8" w14:textId="77777777" w:rsidR="0056464E" w:rsidRDefault="006E2882" w:rsidP="002A7402">
      <w:pPr>
        <w:pStyle w:val="Confidentialityclause"/>
        <w:rPr>
          <w:bCs w:val="0"/>
        </w:rPr>
      </w:pPr>
      <w:r w:rsidRPr="006E2882">
        <w:rPr>
          <w:bCs w:val="0"/>
        </w:rPr>
        <w:t xml:space="preserve">Written requests should be directed to Victoria Legal Aid, Research and </w:t>
      </w:r>
      <w:r w:rsidRPr="00495ED9">
        <w:rPr>
          <w:bCs w:val="0"/>
          <w:szCs w:val="18"/>
        </w:rPr>
        <w:t xml:space="preserve">Communications, </w:t>
      </w:r>
      <w:r w:rsidR="00495ED9" w:rsidRPr="00495ED9">
        <w:rPr>
          <w:rFonts w:cs="Arial"/>
          <w:szCs w:val="18"/>
        </w:rPr>
        <w:t>Level 9, 570 Bourke</w:t>
      </w:r>
      <w:r w:rsidR="00495ED9">
        <w:rPr>
          <w:rFonts w:cs="Arial"/>
          <w:sz w:val="16"/>
        </w:rPr>
        <w:t xml:space="preserve"> </w:t>
      </w:r>
      <w:r w:rsidRPr="006E2882">
        <w:rPr>
          <w:bCs w:val="0"/>
        </w:rPr>
        <w:t>Street, Melbourne Vic</w:t>
      </w:r>
      <w:r w:rsidR="00C74608">
        <w:rPr>
          <w:bCs w:val="0"/>
        </w:rPr>
        <w:t xml:space="preserve"> </w:t>
      </w:r>
      <w:r w:rsidRPr="006E2882">
        <w:rPr>
          <w:bCs w:val="0"/>
        </w:rPr>
        <w:t>3000.</w:t>
      </w:r>
    </w:p>
    <w:p w14:paraId="62E27DF0" w14:textId="77777777" w:rsidR="00696BAC" w:rsidRPr="00E24A08" w:rsidRDefault="00696BAC" w:rsidP="002A7402">
      <w:pPr>
        <w:pStyle w:val="Confidentialityclause"/>
        <w:rPr>
          <w:bCs w:val="0"/>
        </w:rPr>
      </w:pPr>
    </w:p>
    <w:p w14:paraId="26064891" w14:textId="77777777" w:rsidR="00CE4C2F" w:rsidRPr="00CC0C03" w:rsidRDefault="00CE4C2F" w:rsidP="00CC0C03">
      <w:pPr>
        <w:sectPr w:rsidR="00CE4C2F" w:rsidRPr="00CC0C03" w:rsidSect="007538CC">
          <w:headerReference w:type="default" r:id="rId13"/>
          <w:footerReference w:type="default" r:id="rId14"/>
          <w:headerReference w:type="first" r:id="rId15"/>
          <w:footerReference w:type="first" r:id="rId16"/>
          <w:type w:val="evenPage"/>
          <w:pgSz w:w="11906" w:h="16838" w:code="9"/>
          <w:pgMar w:top="950" w:right="992" w:bottom="1134" w:left="1134" w:header="984" w:footer="429" w:gutter="0"/>
          <w:paperSrc w:first="7" w:other="7"/>
          <w:pgNumType w:start="1"/>
          <w:cols w:space="720"/>
          <w:titlePg/>
          <w:docGrid w:linePitch="299"/>
        </w:sectPr>
      </w:pPr>
    </w:p>
    <w:p w14:paraId="5A1A9720" w14:textId="77777777" w:rsidR="002B4970" w:rsidRPr="0056464E" w:rsidRDefault="002B4970" w:rsidP="0056464E">
      <w:pPr>
        <w:pStyle w:val="Contents"/>
      </w:pPr>
      <w:r w:rsidRPr="0056464E">
        <w:lastRenderedPageBreak/>
        <w:t>Contents</w:t>
      </w:r>
    </w:p>
    <w:p w14:paraId="49248629" w14:textId="77777777" w:rsidR="00C96D88" w:rsidRDefault="004E0688">
      <w:pPr>
        <w:pStyle w:val="TOC1"/>
        <w:rPr>
          <w:rFonts w:asciiTheme="minorHAnsi" w:eastAsiaTheme="minorEastAsia" w:hAnsiTheme="minorHAnsi" w:cstheme="minorBidi"/>
          <w:b w:val="0"/>
          <w:noProof/>
          <w:sz w:val="22"/>
          <w:szCs w:val="22"/>
          <w:lang w:eastAsia="en-AU"/>
        </w:rPr>
      </w:pPr>
      <w:r>
        <w:fldChar w:fldCharType="begin"/>
      </w:r>
      <w:r>
        <w:instrText xml:space="preserve"> TOC \h \z \t "Heading 1,1,Heading 2,2,Heading 3,3,Appendix,1" </w:instrText>
      </w:r>
      <w:r>
        <w:fldChar w:fldCharType="separate"/>
      </w:r>
      <w:hyperlink w:anchor="_Toc482020682" w:history="1">
        <w:r w:rsidR="00C96D88" w:rsidRPr="00F737D0">
          <w:rPr>
            <w:rStyle w:val="Hyperlink"/>
            <w:noProof/>
          </w:rPr>
          <w:t>About Victoria Legal Aid</w:t>
        </w:r>
        <w:r w:rsidR="00C96D88">
          <w:rPr>
            <w:noProof/>
            <w:webHidden/>
          </w:rPr>
          <w:tab/>
        </w:r>
        <w:r w:rsidR="00C96D88">
          <w:rPr>
            <w:noProof/>
            <w:webHidden/>
          </w:rPr>
          <w:fldChar w:fldCharType="begin"/>
        </w:r>
        <w:r w:rsidR="00C96D88">
          <w:rPr>
            <w:noProof/>
            <w:webHidden/>
          </w:rPr>
          <w:instrText xml:space="preserve"> PAGEREF _Toc482020682 \h </w:instrText>
        </w:r>
        <w:r w:rsidR="00C96D88">
          <w:rPr>
            <w:noProof/>
            <w:webHidden/>
          </w:rPr>
        </w:r>
        <w:r w:rsidR="00C96D88">
          <w:rPr>
            <w:noProof/>
            <w:webHidden/>
          </w:rPr>
          <w:fldChar w:fldCharType="separate"/>
        </w:r>
        <w:r w:rsidR="00C96D88">
          <w:rPr>
            <w:noProof/>
            <w:webHidden/>
          </w:rPr>
          <w:t>1</w:t>
        </w:r>
        <w:r w:rsidR="00C96D88">
          <w:rPr>
            <w:noProof/>
            <w:webHidden/>
          </w:rPr>
          <w:fldChar w:fldCharType="end"/>
        </w:r>
      </w:hyperlink>
    </w:p>
    <w:p w14:paraId="193B9D14" w14:textId="77777777" w:rsidR="00C96D88" w:rsidRDefault="00916FE4">
      <w:pPr>
        <w:pStyle w:val="TOC1"/>
        <w:rPr>
          <w:rFonts w:asciiTheme="minorHAnsi" w:eastAsiaTheme="minorEastAsia" w:hAnsiTheme="minorHAnsi" w:cstheme="minorBidi"/>
          <w:b w:val="0"/>
          <w:noProof/>
          <w:sz w:val="22"/>
          <w:szCs w:val="22"/>
          <w:lang w:eastAsia="en-AU"/>
        </w:rPr>
      </w:pPr>
      <w:hyperlink w:anchor="_Toc482020683" w:history="1">
        <w:r w:rsidR="00C96D88" w:rsidRPr="00F737D0">
          <w:rPr>
            <w:rStyle w:val="Hyperlink"/>
            <w:noProof/>
          </w:rPr>
          <w:t>Executive Summary</w:t>
        </w:r>
        <w:r w:rsidR="00C96D88">
          <w:rPr>
            <w:noProof/>
            <w:webHidden/>
          </w:rPr>
          <w:tab/>
        </w:r>
        <w:r w:rsidR="00C96D88">
          <w:rPr>
            <w:noProof/>
            <w:webHidden/>
          </w:rPr>
          <w:fldChar w:fldCharType="begin"/>
        </w:r>
        <w:r w:rsidR="00C96D88">
          <w:rPr>
            <w:noProof/>
            <w:webHidden/>
          </w:rPr>
          <w:instrText xml:space="preserve"> PAGEREF _Toc482020683 \h </w:instrText>
        </w:r>
        <w:r w:rsidR="00C96D88">
          <w:rPr>
            <w:noProof/>
            <w:webHidden/>
          </w:rPr>
        </w:r>
        <w:r w:rsidR="00C96D88">
          <w:rPr>
            <w:noProof/>
            <w:webHidden/>
          </w:rPr>
          <w:fldChar w:fldCharType="separate"/>
        </w:r>
        <w:r w:rsidR="00C96D88">
          <w:rPr>
            <w:noProof/>
            <w:webHidden/>
          </w:rPr>
          <w:t>2</w:t>
        </w:r>
        <w:r w:rsidR="00C96D88">
          <w:rPr>
            <w:noProof/>
            <w:webHidden/>
          </w:rPr>
          <w:fldChar w:fldCharType="end"/>
        </w:r>
      </w:hyperlink>
    </w:p>
    <w:p w14:paraId="1F05B500" w14:textId="77777777" w:rsidR="00C96D88" w:rsidRDefault="00916FE4">
      <w:pPr>
        <w:pStyle w:val="TOC1"/>
        <w:rPr>
          <w:rFonts w:asciiTheme="minorHAnsi" w:eastAsiaTheme="minorEastAsia" w:hAnsiTheme="minorHAnsi" w:cstheme="minorBidi"/>
          <w:b w:val="0"/>
          <w:noProof/>
          <w:sz w:val="22"/>
          <w:szCs w:val="22"/>
          <w:lang w:eastAsia="en-AU"/>
        </w:rPr>
      </w:pPr>
      <w:hyperlink w:anchor="_Toc482020684" w:history="1">
        <w:r w:rsidR="00C96D88" w:rsidRPr="00F737D0">
          <w:rPr>
            <w:rStyle w:val="Hyperlink"/>
            <w:noProof/>
          </w:rPr>
          <w:t>Snapshot of legal issues, disability and legal aid in Australia</w:t>
        </w:r>
        <w:r w:rsidR="00C96D88">
          <w:rPr>
            <w:noProof/>
            <w:webHidden/>
          </w:rPr>
          <w:tab/>
        </w:r>
        <w:r w:rsidR="00C96D88">
          <w:rPr>
            <w:noProof/>
            <w:webHidden/>
          </w:rPr>
          <w:fldChar w:fldCharType="begin"/>
        </w:r>
        <w:r w:rsidR="00C96D88">
          <w:rPr>
            <w:noProof/>
            <w:webHidden/>
          </w:rPr>
          <w:instrText xml:space="preserve"> PAGEREF _Toc482020684 \h </w:instrText>
        </w:r>
        <w:r w:rsidR="00C96D88">
          <w:rPr>
            <w:noProof/>
            <w:webHidden/>
          </w:rPr>
        </w:r>
        <w:r w:rsidR="00C96D88">
          <w:rPr>
            <w:noProof/>
            <w:webHidden/>
          </w:rPr>
          <w:fldChar w:fldCharType="separate"/>
        </w:r>
        <w:r w:rsidR="00C96D88">
          <w:rPr>
            <w:noProof/>
            <w:webHidden/>
          </w:rPr>
          <w:t>3</w:t>
        </w:r>
        <w:r w:rsidR="00C96D88">
          <w:rPr>
            <w:noProof/>
            <w:webHidden/>
          </w:rPr>
          <w:fldChar w:fldCharType="end"/>
        </w:r>
      </w:hyperlink>
    </w:p>
    <w:p w14:paraId="38FD8556" w14:textId="77777777" w:rsidR="00C96D88" w:rsidRDefault="00916FE4">
      <w:pPr>
        <w:pStyle w:val="TOC1"/>
        <w:rPr>
          <w:rFonts w:asciiTheme="minorHAnsi" w:eastAsiaTheme="minorEastAsia" w:hAnsiTheme="minorHAnsi" w:cstheme="minorBidi"/>
          <w:b w:val="0"/>
          <w:noProof/>
          <w:sz w:val="22"/>
          <w:szCs w:val="22"/>
          <w:lang w:eastAsia="en-AU"/>
        </w:rPr>
      </w:pPr>
      <w:hyperlink w:anchor="_Toc482020685" w:history="1">
        <w:r w:rsidR="00C96D88" w:rsidRPr="00F737D0">
          <w:rPr>
            <w:rStyle w:val="Hyperlink"/>
            <w:noProof/>
          </w:rPr>
          <w:t>VLA, mental health and disability law and accessible justice</w:t>
        </w:r>
        <w:r w:rsidR="00C96D88">
          <w:rPr>
            <w:noProof/>
            <w:webHidden/>
          </w:rPr>
          <w:tab/>
        </w:r>
        <w:r w:rsidR="00C96D88">
          <w:rPr>
            <w:noProof/>
            <w:webHidden/>
          </w:rPr>
          <w:fldChar w:fldCharType="begin"/>
        </w:r>
        <w:r w:rsidR="00C96D88">
          <w:rPr>
            <w:noProof/>
            <w:webHidden/>
          </w:rPr>
          <w:instrText xml:space="preserve"> PAGEREF _Toc482020685 \h </w:instrText>
        </w:r>
        <w:r w:rsidR="00C96D88">
          <w:rPr>
            <w:noProof/>
            <w:webHidden/>
          </w:rPr>
        </w:r>
        <w:r w:rsidR="00C96D88">
          <w:rPr>
            <w:noProof/>
            <w:webHidden/>
          </w:rPr>
          <w:fldChar w:fldCharType="separate"/>
        </w:r>
        <w:r w:rsidR="00C96D88">
          <w:rPr>
            <w:noProof/>
            <w:webHidden/>
          </w:rPr>
          <w:t>4</w:t>
        </w:r>
        <w:r w:rsidR="00C96D88">
          <w:rPr>
            <w:noProof/>
            <w:webHidden/>
          </w:rPr>
          <w:fldChar w:fldCharType="end"/>
        </w:r>
      </w:hyperlink>
    </w:p>
    <w:p w14:paraId="70F100E4" w14:textId="77777777" w:rsidR="00C96D88" w:rsidRDefault="00916FE4">
      <w:pPr>
        <w:pStyle w:val="TOC3"/>
        <w:rPr>
          <w:rFonts w:asciiTheme="minorHAnsi" w:eastAsiaTheme="minorEastAsia" w:hAnsiTheme="minorHAnsi" w:cstheme="minorBidi"/>
          <w:sz w:val="22"/>
          <w:szCs w:val="22"/>
          <w:lang w:eastAsia="en-AU"/>
        </w:rPr>
      </w:pPr>
      <w:hyperlink w:anchor="_Toc482020686" w:history="1">
        <w:r w:rsidR="00C96D88" w:rsidRPr="00F737D0">
          <w:rPr>
            <w:rStyle w:val="Hyperlink"/>
          </w:rPr>
          <w:t>Background</w:t>
        </w:r>
        <w:r w:rsidR="00C96D88">
          <w:rPr>
            <w:webHidden/>
          </w:rPr>
          <w:tab/>
        </w:r>
        <w:r w:rsidR="00C96D88">
          <w:rPr>
            <w:webHidden/>
          </w:rPr>
          <w:fldChar w:fldCharType="begin"/>
        </w:r>
        <w:r w:rsidR="00C96D88">
          <w:rPr>
            <w:webHidden/>
          </w:rPr>
          <w:instrText xml:space="preserve"> PAGEREF _Toc482020686 \h </w:instrText>
        </w:r>
        <w:r w:rsidR="00C96D88">
          <w:rPr>
            <w:webHidden/>
          </w:rPr>
        </w:r>
        <w:r w:rsidR="00C96D88">
          <w:rPr>
            <w:webHidden/>
          </w:rPr>
          <w:fldChar w:fldCharType="separate"/>
        </w:r>
        <w:r w:rsidR="00C96D88">
          <w:rPr>
            <w:webHidden/>
          </w:rPr>
          <w:t>4</w:t>
        </w:r>
        <w:r w:rsidR="00C96D88">
          <w:rPr>
            <w:webHidden/>
          </w:rPr>
          <w:fldChar w:fldCharType="end"/>
        </w:r>
      </w:hyperlink>
    </w:p>
    <w:p w14:paraId="68BC240F" w14:textId="77777777" w:rsidR="00C96D88" w:rsidRDefault="00916FE4">
      <w:pPr>
        <w:pStyle w:val="TOC3"/>
        <w:rPr>
          <w:rFonts w:asciiTheme="minorHAnsi" w:eastAsiaTheme="minorEastAsia" w:hAnsiTheme="minorHAnsi" w:cstheme="minorBidi"/>
          <w:sz w:val="22"/>
          <w:szCs w:val="22"/>
          <w:lang w:eastAsia="en-AU"/>
        </w:rPr>
      </w:pPr>
      <w:hyperlink w:anchor="_Toc482020687" w:history="1">
        <w:r w:rsidR="00C96D88" w:rsidRPr="00F737D0">
          <w:rPr>
            <w:rStyle w:val="Hyperlink"/>
          </w:rPr>
          <w:t>Mental Health and Disability Law sub-program</w:t>
        </w:r>
        <w:r w:rsidR="00C96D88">
          <w:rPr>
            <w:webHidden/>
          </w:rPr>
          <w:tab/>
        </w:r>
        <w:r w:rsidR="00C96D88">
          <w:rPr>
            <w:webHidden/>
          </w:rPr>
          <w:fldChar w:fldCharType="begin"/>
        </w:r>
        <w:r w:rsidR="00C96D88">
          <w:rPr>
            <w:webHidden/>
          </w:rPr>
          <w:instrText xml:space="preserve"> PAGEREF _Toc482020687 \h </w:instrText>
        </w:r>
        <w:r w:rsidR="00C96D88">
          <w:rPr>
            <w:webHidden/>
          </w:rPr>
        </w:r>
        <w:r w:rsidR="00C96D88">
          <w:rPr>
            <w:webHidden/>
          </w:rPr>
          <w:fldChar w:fldCharType="separate"/>
        </w:r>
        <w:r w:rsidR="00C96D88">
          <w:rPr>
            <w:webHidden/>
          </w:rPr>
          <w:t>4</w:t>
        </w:r>
        <w:r w:rsidR="00C96D88">
          <w:rPr>
            <w:webHidden/>
          </w:rPr>
          <w:fldChar w:fldCharType="end"/>
        </w:r>
      </w:hyperlink>
    </w:p>
    <w:p w14:paraId="14C04FC2" w14:textId="77777777" w:rsidR="00C96D88" w:rsidRDefault="00916FE4">
      <w:pPr>
        <w:pStyle w:val="TOC3"/>
        <w:rPr>
          <w:rFonts w:asciiTheme="minorHAnsi" w:eastAsiaTheme="minorEastAsia" w:hAnsiTheme="minorHAnsi" w:cstheme="minorBidi"/>
          <w:sz w:val="22"/>
          <w:szCs w:val="22"/>
          <w:lang w:eastAsia="en-AU"/>
        </w:rPr>
      </w:pPr>
      <w:hyperlink w:anchor="_Toc482020688" w:history="1">
        <w:r w:rsidR="00C96D88" w:rsidRPr="00F737D0">
          <w:rPr>
            <w:rStyle w:val="Hyperlink"/>
          </w:rPr>
          <w:t>Independent Mental Health Advocacy</w:t>
        </w:r>
        <w:r w:rsidR="00C96D88">
          <w:rPr>
            <w:webHidden/>
          </w:rPr>
          <w:tab/>
        </w:r>
        <w:r w:rsidR="00C96D88">
          <w:rPr>
            <w:webHidden/>
          </w:rPr>
          <w:fldChar w:fldCharType="begin"/>
        </w:r>
        <w:r w:rsidR="00C96D88">
          <w:rPr>
            <w:webHidden/>
          </w:rPr>
          <w:instrText xml:space="preserve"> PAGEREF _Toc482020688 \h </w:instrText>
        </w:r>
        <w:r w:rsidR="00C96D88">
          <w:rPr>
            <w:webHidden/>
          </w:rPr>
        </w:r>
        <w:r w:rsidR="00C96D88">
          <w:rPr>
            <w:webHidden/>
          </w:rPr>
          <w:fldChar w:fldCharType="separate"/>
        </w:r>
        <w:r w:rsidR="00C96D88">
          <w:rPr>
            <w:webHidden/>
          </w:rPr>
          <w:t>6</w:t>
        </w:r>
        <w:r w:rsidR="00C96D88">
          <w:rPr>
            <w:webHidden/>
          </w:rPr>
          <w:fldChar w:fldCharType="end"/>
        </w:r>
      </w:hyperlink>
    </w:p>
    <w:p w14:paraId="30C08611" w14:textId="77777777" w:rsidR="00C96D88" w:rsidRDefault="00916FE4">
      <w:pPr>
        <w:pStyle w:val="TOC1"/>
        <w:rPr>
          <w:rFonts w:asciiTheme="minorHAnsi" w:eastAsiaTheme="minorEastAsia" w:hAnsiTheme="minorHAnsi" w:cstheme="minorBidi"/>
          <w:b w:val="0"/>
          <w:noProof/>
          <w:sz w:val="22"/>
          <w:szCs w:val="22"/>
          <w:lang w:eastAsia="en-AU"/>
        </w:rPr>
      </w:pPr>
      <w:hyperlink w:anchor="_Toc482020689" w:history="1">
        <w:r w:rsidR="00C96D88" w:rsidRPr="00F737D0">
          <w:rPr>
            <w:rStyle w:val="Hyperlink"/>
            <w:noProof/>
          </w:rPr>
          <w:t>Art 13 and Accessible Legal Assistance</w:t>
        </w:r>
        <w:r w:rsidR="00C96D88">
          <w:rPr>
            <w:noProof/>
            <w:webHidden/>
          </w:rPr>
          <w:tab/>
        </w:r>
        <w:r w:rsidR="00C96D88">
          <w:rPr>
            <w:noProof/>
            <w:webHidden/>
          </w:rPr>
          <w:fldChar w:fldCharType="begin"/>
        </w:r>
        <w:r w:rsidR="00C96D88">
          <w:rPr>
            <w:noProof/>
            <w:webHidden/>
          </w:rPr>
          <w:instrText xml:space="preserve"> PAGEREF _Toc482020689 \h </w:instrText>
        </w:r>
        <w:r w:rsidR="00C96D88">
          <w:rPr>
            <w:noProof/>
            <w:webHidden/>
          </w:rPr>
        </w:r>
        <w:r w:rsidR="00C96D88">
          <w:rPr>
            <w:noProof/>
            <w:webHidden/>
          </w:rPr>
          <w:fldChar w:fldCharType="separate"/>
        </w:r>
        <w:r w:rsidR="00C96D88">
          <w:rPr>
            <w:noProof/>
            <w:webHidden/>
          </w:rPr>
          <w:t>8</w:t>
        </w:r>
        <w:r w:rsidR="00C96D88">
          <w:rPr>
            <w:noProof/>
            <w:webHidden/>
          </w:rPr>
          <w:fldChar w:fldCharType="end"/>
        </w:r>
      </w:hyperlink>
    </w:p>
    <w:p w14:paraId="64E403AE" w14:textId="77777777" w:rsidR="00C96D88" w:rsidRDefault="00916FE4">
      <w:pPr>
        <w:pStyle w:val="TOC1"/>
        <w:rPr>
          <w:rFonts w:asciiTheme="minorHAnsi" w:eastAsiaTheme="minorEastAsia" w:hAnsiTheme="minorHAnsi" w:cstheme="minorBidi"/>
          <w:b w:val="0"/>
          <w:noProof/>
          <w:sz w:val="22"/>
          <w:szCs w:val="22"/>
          <w:lang w:eastAsia="en-AU"/>
        </w:rPr>
      </w:pPr>
      <w:hyperlink w:anchor="_Toc482020690" w:history="1">
        <w:r w:rsidR="00C96D88" w:rsidRPr="00F737D0">
          <w:rPr>
            <w:rStyle w:val="Hyperlink"/>
            <w:noProof/>
          </w:rPr>
          <w:t>Law and Policy on Access to Justice in Victoria</w:t>
        </w:r>
        <w:r w:rsidR="00C96D88">
          <w:rPr>
            <w:noProof/>
            <w:webHidden/>
          </w:rPr>
          <w:tab/>
        </w:r>
        <w:r w:rsidR="00C96D88">
          <w:rPr>
            <w:noProof/>
            <w:webHidden/>
          </w:rPr>
          <w:fldChar w:fldCharType="begin"/>
        </w:r>
        <w:r w:rsidR="00C96D88">
          <w:rPr>
            <w:noProof/>
            <w:webHidden/>
          </w:rPr>
          <w:instrText xml:space="preserve"> PAGEREF _Toc482020690 \h </w:instrText>
        </w:r>
        <w:r w:rsidR="00C96D88">
          <w:rPr>
            <w:noProof/>
            <w:webHidden/>
          </w:rPr>
        </w:r>
        <w:r w:rsidR="00C96D88">
          <w:rPr>
            <w:noProof/>
            <w:webHidden/>
          </w:rPr>
          <w:fldChar w:fldCharType="separate"/>
        </w:r>
        <w:r w:rsidR="00C96D88">
          <w:rPr>
            <w:noProof/>
            <w:webHidden/>
          </w:rPr>
          <w:t>12</w:t>
        </w:r>
        <w:r w:rsidR="00C96D88">
          <w:rPr>
            <w:noProof/>
            <w:webHidden/>
          </w:rPr>
          <w:fldChar w:fldCharType="end"/>
        </w:r>
      </w:hyperlink>
    </w:p>
    <w:p w14:paraId="1A6E0B52" w14:textId="77777777" w:rsidR="00C96D88" w:rsidRDefault="00916FE4">
      <w:pPr>
        <w:pStyle w:val="TOC1"/>
        <w:rPr>
          <w:rFonts w:asciiTheme="minorHAnsi" w:eastAsiaTheme="minorEastAsia" w:hAnsiTheme="minorHAnsi" w:cstheme="minorBidi"/>
          <w:b w:val="0"/>
          <w:noProof/>
          <w:sz w:val="22"/>
          <w:szCs w:val="22"/>
          <w:lang w:eastAsia="en-AU"/>
        </w:rPr>
      </w:pPr>
      <w:hyperlink w:anchor="_Toc482020691" w:history="1">
        <w:r w:rsidR="00C96D88" w:rsidRPr="00F737D0">
          <w:rPr>
            <w:rStyle w:val="Hyperlink"/>
            <w:noProof/>
          </w:rPr>
          <w:t>Conclusion</w:t>
        </w:r>
        <w:r w:rsidR="00C96D88">
          <w:rPr>
            <w:noProof/>
            <w:webHidden/>
          </w:rPr>
          <w:tab/>
        </w:r>
        <w:r w:rsidR="00C96D88">
          <w:rPr>
            <w:noProof/>
            <w:webHidden/>
          </w:rPr>
          <w:fldChar w:fldCharType="begin"/>
        </w:r>
        <w:r w:rsidR="00C96D88">
          <w:rPr>
            <w:noProof/>
            <w:webHidden/>
          </w:rPr>
          <w:instrText xml:space="preserve"> PAGEREF _Toc482020691 \h </w:instrText>
        </w:r>
        <w:r w:rsidR="00C96D88">
          <w:rPr>
            <w:noProof/>
            <w:webHidden/>
          </w:rPr>
        </w:r>
        <w:r w:rsidR="00C96D88">
          <w:rPr>
            <w:noProof/>
            <w:webHidden/>
          </w:rPr>
          <w:fldChar w:fldCharType="separate"/>
        </w:r>
        <w:r w:rsidR="00C96D88">
          <w:rPr>
            <w:noProof/>
            <w:webHidden/>
          </w:rPr>
          <w:t>16</w:t>
        </w:r>
        <w:r w:rsidR="00C96D88">
          <w:rPr>
            <w:noProof/>
            <w:webHidden/>
          </w:rPr>
          <w:fldChar w:fldCharType="end"/>
        </w:r>
      </w:hyperlink>
    </w:p>
    <w:p w14:paraId="0AB50BDA" w14:textId="77777777" w:rsidR="00687605" w:rsidRDefault="004E0688" w:rsidP="00AA2CCE">
      <w:r>
        <w:fldChar w:fldCharType="end"/>
      </w:r>
    </w:p>
    <w:p w14:paraId="5E947379" w14:textId="77777777" w:rsidR="00F92EA5" w:rsidRDefault="00F92EA5" w:rsidP="00AA2CCE"/>
    <w:p w14:paraId="001EDB87" w14:textId="77777777" w:rsidR="002B4970" w:rsidRPr="00A37C6E" w:rsidRDefault="002B4970" w:rsidP="00AA2CCE">
      <w:pPr>
        <w:rPr>
          <w:lang w:eastAsia="en-AU"/>
        </w:rPr>
        <w:sectPr w:rsidR="002B4970" w:rsidRPr="00A37C6E" w:rsidSect="00DA29C4">
          <w:headerReference w:type="default" r:id="rId17"/>
          <w:footerReference w:type="default" r:id="rId18"/>
          <w:pgSz w:w="11906" w:h="16838"/>
          <w:pgMar w:top="1418" w:right="992" w:bottom="1134" w:left="1134" w:header="851" w:footer="284" w:gutter="0"/>
          <w:paperSrc w:first="7" w:other="7"/>
          <w:pgNumType w:fmt="lowerRoman" w:start="1"/>
          <w:cols w:space="720"/>
          <w:docGrid w:linePitch="299"/>
        </w:sectPr>
      </w:pPr>
    </w:p>
    <w:p w14:paraId="3AD8731B" w14:textId="77777777" w:rsidR="007550FB" w:rsidRPr="007550FB" w:rsidRDefault="007825F3" w:rsidP="00B10556">
      <w:pPr>
        <w:pStyle w:val="Heading1"/>
      </w:pPr>
      <w:bookmarkStart w:id="1" w:name="_Toc482020682"/>
      <w:r w:rsidRPr="00161EEF">
        <w:lastRenderedPageBreak/>
        <w:t>About</w:t>
      </w:r>
      <w:r w:rsidR="00B10556">
        <w:t xml:space="preserve"> Victoria </w:t>
      </w:r>
      <w:r w:rsidR="00B10556" w:rsidRPr="00B10556">
        <w:t>L</w:t>
      </w:r>
      <w:r w:rsidRPr="00B10556">
        <w:t>egal</w:t>
      </w:r>
      <w:r>
        <w:t xml:space="preserve"> Aid</w:t>
      </w:r>
      <w:bookmarkEnd w:id="1"/>
    </w:p>
    <w:p w14:paraId="1CC49AF8" w14:textId="77777777" w:rsidR="00B32439" w:rsidRDefault="00DA6E11" w:rsidP="00DA6E11">
      <w:pPr>
        <w:jc w:val="both"/>
      </w:pPr>
      <w:r>
        <w:t>Victoria Legal Aid (</w:t>
      </w:r>
      <w:r w:rsidRPr="00DA6E11">
        <w:rPr>
          <w:b/>
        </w:rPr>
        <w:t>VLA</w:t>
      </w:r>
      <w:r>
        <w:t>)</w:t>
      </w:r>
      <w:r w:rsidR="007F13D5">
        <w:rPr>
          <w:rStyle w:val="FootnoteReference"/>
        </w:rPr>
        <w:footnoteReference w:id="1"/>
      </w:r>
      <w:r>
        <w:t xml:space="preserve"> is an independent statutory body established under the </w:t>
      </w:r>
      <w:r w:rsidRPr="00DA6E11">
        <w:rPr>
          <w:i/>
        </w:rPr>
        <w:t>Legal Aid Act 1978</w:t>
      </w:r>
      <w:r>
        <w:t xml:space="preserve"> (Vic) to provide</w:t>
      </w:r>
      <w:r w:rsidR="00D9326D">
        <w:t xml:space="preserve"> access to justice to the community through </w:t>
      </w:r>
      <w:r>
        <w:t xml:space="preserve">legal advocacy, advice and assistance to socially and economically disadvantaged persons across the state of Victoria, Australia. Our organisation </w:t>
      </w:r>
      <w:r w:rsidR="004110D9">
        <w:t>provides client-centred services through</w:t>
      </w:r>
      <w:r>
        <w:t xml:space="preserve"> dedicated thematic practice areas to address the legal needs of those most marginalised, including persons with disabilities. </w:t>
      </w:r>
    </w:p>
    <w:p w14:paraId="3D79DAE2" w14:textId="77777777" w:rsidR="004110D9" w:rsidRDefault="00B32439" w:rsidP="00EC4B9A">
      <w:r>
        <w:t xml:space="preserve">VLA is a leading provider of legal services to persons with disabilities in Victoria, with </w:t>
      </w:r>
      <w:r w:rsidR="007449EE">
        <w:t xml:space="preserve">22,580 </w:t>
      </w:r>
      <w:r>
        <w:t>clients identifying as having a disability</w:t>
      </w:r>
      <w:r w:rsidR="00000830">
        <w:t xml:space="preserve"> or mental health condition</w:t>
      </w:r>
      <w:r w:rsidR="007449EE">
        <w:t xml:space="preserve"> in 2015-2016</w:t>
      </w:r>
      <w:r w:rsidR="00105DC0">
        <w:rPr>
          <w:rStyle w:val="FootnoteReference"/>
        </w:rPr>
        <w:footnoteReference w:id="2"/>
      </w:r>
      <w:r>
        <w:t>. VLA’s service delivery model takes a dual</w:t>
      </w:r>
      <w:r w:rsidR="004110D9">
        <w:t>-</w:t>
      </w:r>
      <w:r>
        <w:t>pronged approach to promoting access to justice for this client group</w:t>
      </w:r>
      <w:r w:rsidR="00546505">
        <w:t>.  We provide both</w:t>
      </w:r>
      <w:r w:rsidR="006426BC">
        <w:t xml:space="preserve"> specialist legal services </w:t>
      </w:r>
      <w:r w:rsidR="00546505">
        <w:t>and</w:t>
      </w:r>
      <w:r w:rsidR="006426BC">
        <w:t xml:space="preserve"> </w:t>
      </w:r>
      <w:r w:rsidR="006D3BE4">
        <w:t xml:space="preserve">non-legal </w:t>
      </w:r>
      <w:r w:rsidR="006426BC">
        <w:t>advocacy and</w:t>
      </w:r>
      <w:r>
        <w:t xml:space="preserve"> support. Our</w:t>
      </w:r>
      <w:r w:rsidR="00256541">
        <w:t xml:space="preserve"> Civil Justice Program includes a</w:t>
      </w:r>
      <w:r>
        <w:t xml:space="preserve"> specialist legal service, the Mental Health and Disability Law </w:t>
      </w:r>
      <w:r w:rsidR="00BA4182">
        <w:t>sub-</w:t>
      </w:r>
      <w:r>
        <w:t>program (</w:t>
      </w:r>
      <w:r w:rsidRPr="00B32439">
        <w:rPr>
          <w:b/>
        </w:rPr>
        <w:t>MHDL</w:t>
      </w:r>
      <w:r>
        <w:t>)</w:t>
      </w:r>
      <w:r w:rsidR="004110D9">
        <w:t>,</w:t>
      </w:r>
      <w:r>
        <w:t xml:space="preserve"> </w:t>
      </w:r>
      <w:r w:rsidR="00256541">
        <w:t xml:space="preserve">which </w:t>
      </w:r>
      <w:r w:rsidR="00DA6E11">
        <w:t>provide</w:t>
      </w:r>
      <w:r>
        <w:t>s</w:t>
      </w:r>
      <w:r w:rsidR="00DA6E11">
        <w:t xml:space="preserve"> advice and representation at courts, tribunals and psychiatric hospitals </w:t>
      </w:r>
      <w:r>
        <w:t xml:space="preserve">for persons with disabilities and mental health conditions. </w:t>
      </w:r>
    </w:p>
    <w:p w14:paraId="06CEF230" w14:textId="77777777" w:rsidR="007550FB" w:rsidRDefault="006426BC" w:rsidP="00EC4B9A">
      <w:r>
        <w:t>MHDL lawyers work in partnership with Independent Mental Health Advocacy (</w:t>
      </w:r>
      <w:r w:rsidRPr="006426BC">
        <w:rPr>
          <w:b/>
        </w:rPr>
        <w:t>IMHA</w:t>
      </w:r>
      <w:r>
        <w:t>), a state-wide non-legal advocacy service for persons receiving compulsory treatment</w:t>
      </w:r>
      <w:r w:rsidR="000B3A91">
        <w:t xml:space="preserve"> under the </w:t>
      </w:r>
      <w:r w:rsidR="000B3A91">
        <w:rPr>
          <w:i/>
        </w:rPr>
        <w:t>Mental Health Act</w:t>
      </w:r>
      <w:r w:rsidR="000B3A91">
        <w:t xml:space="preserve"> </w:t>
      </w:r>
      <w:r w:rsidR="000B3A91">
        <w:rPr>
          <w:i/>
        </w:rPr>
        <w:t xml:space="preserve">2014 </w:t>
      </w:r>
      <w:r w:rsidR="000B3A91">
        <w:t>(Vic) (</w:t>
      </w:r>
      <w:r w:rsidR="000B3A91">
        <w:rPr>
          <w:b/>
        </w:rPr>
        <w:t>Mental Health Act</w:t>
      </w:r>
      <w:r w:rsidR="000B3A91">
        <w:t xml:space="preserve">). </w:t>
      </w:r>
      <w:r w:rsidR="004110D9">
        <w:t xml:space="preserve">Advocates in </w:t>
      </w:r>
      <w:r w:rsidR="000B3A91">
        <w:t>I</w:t>
      </w:r>
      <w:r w:rsidR="004110D9">
        <w:t xml:space="preserve">MHA </w:t>
      </w:r>
      <w:r w:rsidR="000B3A91">
        <w:t>support and assist people to participate in decisions about their assessment, treatment and recovery and empower them to recognise and pursue legal remedies</w:t>
      </w:r>
      <w:r w:rsidR="00BC5247">
        <w:t>.</w:t>
      </w:r>
    </w:p>
    <w:p w14:paraId="4C2DC5FF" w14:textId="77777777" w:rsidR="00675624" w:rsidRPr="000B3A91" w:rsidRDefault="00675624" w:rsidP="00DA6E11">
      <w:pPr>
        <w:jc w:val="both"/>
      </w:pPr>
      <w:r>
        <w:t>Both these programs are explained in further detail below from page</w:t>
      </w:r>
      <w:r w:rsidR="003D6047">
        <w:t>s 4–7</w:t>
      </w:r>
      <w:r>
        <w:t>.</w:t>
      </w:r>
    </w:p>
    <w:p w14:paraId="1311A813" w14:textId="77777777" w:rsidR="002C55A4" w:rsidRDefault="002C55A4" w:rsidP="00A940C0"/>
    <w:p w14:paraId="27698B9D" w14:textId="77777777" w:rsidR="007825F3" w:rsidRDefault="007D7535" w:rsidP="00B10556">
      <w:pPr>
        <w:pStyle w:val="Heading1"/>
      </w:pPr>
      <w:r>
        <w:br w:type="page"/>
      </w:r>
      <w:bookmarkStart w:id="2" w:name="_Toc482020683"/>
      <w:r w:rsidR="007825F3">
        <w:lastRenderedPageBreak/>
        <w:t>Executive Summary</w:t>
      </w:r>
      <w:bookmarkEnd w:id="2"/>
    </w:p>
    <w:p w14:paraId="171DCE0B" w14:textId="77777777" w:rsidR="00141F59" w:rsidRDefault="007F13D5" w:rsidP="00B25F0F">
      <w:pPr>
        <w:jc w:val="both"/>
        <w:rPr>
          <w:lang w:eastAsia="en-AU"/>
        </w:rPr>
      </w:pPr>
      <w:r>
        <w:rPr>
          <w:lang w:eastAsia="en-AU"/>
        </w:rPr>
        <w:t>VLA welcomes the opportunity to provide this submission to the Office of the High Commissioner for Human Rights (</w:t>
      </w:r>
      <w:r w:rsidRPr="007F13D5">
        <w:rPr>
          <w:b/>
          <w:lang w:eastAsia="en-AU"/>
        </w:rPr>
        <w:t>OHCHR</w:t>
      </w:r>
      <w:r>
        <w:rPr>
          <w:lang w:eastAsia="en-AU"/>
        </w:rPr>
        <w:t>). As a legal aid programme with specialist services to improve access to justice for persons with disabilities, we hope to provide a valuable stakeholder perspective</w:t>
      </w:r>
      <w:r w:rsidR="00000830">
        <w:rPr>
          <w:lang w:eastAsia="en-AU"/>
        </w:rPr>
        <w:t xml:space="preserve"> and illustrative data</w:t>
      </w:r>
      <w:r>
        <w:rPr>
          <w:lang w:eastAsia="en-AU"/>
        </w:rPr>
        <w:t xml:space="preserve"> to the study on Art</w:t>
      </w:r>
      <w:r w:rsidR="00994EEE">
        <w:rPr>
          <w:lang w:eastAsia="en-AU"/>
        </w:rPr>
        <w:t>icle</w:t>
      </w:r>
      <w:r>
        <w:rPr>
          <w:lang w:eastAsia="en-AU"/>
        </w:rPr>
        <w:t xml:space="preserve"> 13</w:t>
      </w:r>
      <w:r w:rsidR="00994EEE">
        <w:rPr>
          <w:lang w:eastAsia="en-AU"/>
        </w:rPr>
        <w:t xml:space="preserve"> (</w:t>
      </w:r>
      <w:r w:rsidR="00994EEE" w:rsidRPr="00994EEE">
        <w:rPr>
          <w:b/>
          <w:lang w:eastAsia="en-AU"/>
        </w:rPr>
        <w:t>Art 13</w:t>
      </w:r>
      <w:r w:rsidR="00994EEE">
        <w:rPr>
          <w:lang w:eastAsia="en-AU"/>
        </w:rPr>
        <w:t>)</w:t>
      </w:r>
      <w:r>
        <w:rPr>
          <w:lang w:eastAsia="en-AU"/>
        </w:rPr>
        <w:t xml:space="preserve"> of the Convention on the Rights of Persons with Disabilities (</w:t>
      </w:r>
      <w:r w:rsidRPr="007F13D5">
        <w:rPr>
          <w:b/>
          <w:lang w:eastAsia="en-AU"/>
        </w:rPr>
        <w:t>CRPD</w:t>
      </w:r>
      <w:r>
        <w:rPr>
          <w:lang w:eastAsia="en-AU"/>
        </w:rPr>
        <w:t>)</w:t>
      </w:r>
      <w:r w:rsidR="00000830">
        <w:rPr>
          <w:lang w:eastAsia="en-AU"/>
        </w:rPr>
        <w:t xml:space="preserve">. </w:t>
      </w:r>
      <w:r w:rsidR="00575E43">
        <w:rPr>
          <w:lang w:eastAsia="en-AU"/>
        </w:rPr>
        <w:t xml:space="preserve">Our submission proceeds in </w:t>
      </w:r>
      <w:r w:rsidR="00775E15">
        <w:rPr>
          <w:lang w:eastAsia="en-AU"/>
        </w:rPr>
        <w:t>three</w:t>
      </w:r>
      <w:r w:rsidR="00575E43">
        <w:rPr>
          <w:lang w:eastAsia="en-AU"/>
        </w:rPr>
        <w:t xml:space="preserve"> parts</w:t>
      </w:r>
      <w:r w:rsidR="00821083">
        <w:rPr>
          <w:lang w:eastAsia="en-AU"/>
        </w:rPr>
        <w:t>.</w:t>
      </w:r>
    </w:p>
    <w:p w14:paraId="6D7644D3" w14:textId="77777777" w:rsidR="00141F59" w:rsidRDefault="00141F59" w:rsidP="00141F59">
      <w:pPr>
        <w:jc w:val="both"/>
        <w:rPr>
          <w:lang w:eastAsia="en-AU"/>
        </w:rPr>
      </w:pPr>
      <w:r>
        <w:rPr>
          <w:lang w:eastAsia="en-AU"/>
        </w:rPr>
        <w:t xml:space="preserve">Our submission focusses largely on our services for persons appearing before the Mental Health Tribunal in Victoria and who are subject to compulsory treatment orders under the Mental Health Act.  </w:t>
      </w:r>
      <w:r w:rsidR="00184E3E">
        <w:rPr>
          <w:lang w:eastAsia="en-AU"/>
        </w:rPr>
        <w:t xml:space="preserve">However, </w:t>
      </w:r>
      <w:r>
        <w:rPr>
          <w:lang w:eastAsia="en-AU"/>
        </w:rPr>
        <w:t xml:space="preserve">Victoria Legal Aid also engages with people with disability in a range of other, important, ways through our large criminal practice, our welfare entitlements practice and in our equality law program.  We enclose a copy of our recent </w:t>
      </w:r>
      <w:r w:rsidR="00184E3E">
        <w:rPr>
          <w:lang w:eastAsia="en-AU"/>
        </w:rPr>
        <w:t>submission to the Australian Disability Discrimination Commissioner highlighting, among other things, a range of procedural modifications which we consider are necessary to meaningfully realise access to justice in the context of criminal proceedings</w:t>
      </w:r>
      <w:r w:rsidR="00D34AE5">
        <w:rPr>
          <w:lang w:eastAsia="en-AU"/>
        </w:rPr>
        <w:t xml:space="preserve"> (see, particularly p 5 – 8)</w:t>
      </w:r>
      <w:r w:rsidR="00184E3E">
        <w:rPr>
          <w:lang w:eastAsia="en-AU"/>
        </w:rPr>
        <w:t>.</w:t>
      </w:r>
    </w:p>
    <w:p w14:paraId="6D3B41C5" w14:textId="77777777" w:rsidR="00184E3E" w:rsidRDefault="00184E3E" w:rsidP="00EC4B9A">
      <w:pPr>
        <w:jc w:val="both"/>
        <w:rPr>
          <w:lang w:eastAsia="en-AU"/>
        </w:rPr>
      </w:pPr>
      <w:r>
        <w:rPr>
          <w:lang w:eastAsia="en-AU"/>
        </w:rPr>
        <w:t xml:space="preserve">This submission is divided into four parts.  </w:t>
      </w:r>
    </w:p>
    <w:p w14:paraId="15570ACB" w14:textId="77777777" w:rsidR="00184E3E" w:rsidRDefault="00243203" w:rsidP="00EC4B9A">
      <w:pPr>
        <w:jc w:val="both"/>
        <w:rPr>
          <w:lang w:eastAsia="en-AU"/>
        </w:rPr>
      </w:pPr>
      <w:r>
        <w:rPr>
          <w:lang w:eastAsia="en-AU"/>
        </w:rPr>
        <w:t>Firs</w:t>
      </w:r>
      <w:r w:rsidR="00546505">
        <w:rPr>
          <w:lang w:eastAsia="en-AU"/>
        </w:rPr>
        <w:t>t</w:t>
      </w:r>
      <w:r w:rsidR="00184E3E">
        <w:rPr>
          <w:lang w:eastAsia="en-AU"/>
        </w:rPr>
        <w:t>, we provide a brief snapshot of disability, legal need and legal aid funding in Australia.</w:t>
      </w:r>
    </w:p>
    <w:p w14:paraId="4745DAB3" w14:textId="77777777" w:rsidR="00243203" w:rsidRDefault="00184E3E" w:rsidP="00EC4B9A">
      <w:pPr>
        <w:jc w:val="both"/>
        <w:rPr>
          <w:lang w:eastAsia="en-AU"/>
        </w:rPr>
      </w:pPr>
      <w:r>
        <w:rPr>
          <w:lang w:eastAsia="en-AU"/>
        </w:rPr>
        <w:t xml:space="preserve">Second, </w:t>
      </w:r>
      <w:r w:rsidR="00243203">
        <w:rPr>
          <w:lang w:eastAsia="en-AU"/>
        </w:rPr>
        <w:t xml:space="preserve">we outline </w:t>
      </w:r>
      <w:r w:rsidR="00821083">
        <w:rPr>
          <w:lang w:eastAsia="en-AU"/>
        </w:rPr>
        <w:t xml:space="preserve">VLA’s operating context, </w:t>
      </w:r>
      <w:r>
        <w:rPr>
          <w:lang w:eastAsia="en-AU"/>
        </w:rPr>
        <w:t xml:space="preserve">focussing on </w:t>
      </w:r>
      <w:r w:rsidR="00821083">
        <w:rPr>
          <w:lang w:eastAsia="en-AU"/>
        </w:rPr>
        <w:t>our</w:t>
      </w:r>
      <w:r w:rsidR="00243203">
        <w:rPr>
          <w:lang w:eastAsia="en-AU"/>
        </w:rPr>
        <w:t xml:space="preserve"> rights-based approach to legal assistance and non-legal advocacy </w:t>
      </w:r>
      <w:r w:rsidR="00546505">
        <w:rPr>
          <w:lang w:eastAsia="en-AU"/>
        </w:rPr>
        <w:t xml:space="preserve">for persons </w:t>
      </w:r>
      <w:r w:rsidR="00243203">
        <w:rPr>
          <w:lang w:eastAsia="en-AU"/>
        </w:rPr>
        <w:t>with disabilities.</w:t>
      </w:r>
      <w:r w:rsidR="00821083">
        <w:rPr>
          <w:lang w:eastAsia="en-AU"/>
        </w:rPr>
        <w:t xml:space="preserve">  Throughout our practice, we have witnessed a clear connection between the adequacy of resources provided for </w:t>
      </w:r>
      <w:r w:rsidR="00243203">
        <w:rPr>
          <w:lang w:eastAsia="en-AU"/>
        </w:rPr>
        <w:t xml:space="preserve">legal assistance </w:t>
      </w:r>
      <w:r w:rsidR="00821083">
        <w:rPr>
          <w:lang w:eastAsia="en-AU"/>
        </w:rPr>
        <w:t xml:space="preserve">and </w:t>
      </w:r>
      <w:r w:rsidR="00243203">
        <w:rPr>
          <w:lang w:eastAsia="en-AU"/>
        </w:rPr>
        <w:t>significant service gaps</w:t>
      </w:r>
      <w:r w:rsidR="00821083">
        <w:rPr>
          <w:lang w:eastAsia="en-AU"/>
        </w:rPr>
        <w:t>.  In our experience, limited funding has led to</w:t>
      </w:r>
      <w:r w:rsidR="00243203">
        <w:rPr>
          <w:lang w:eastAsia="en-AU"/>
        </w:rPr>
        <w:t xml:space="preserve"> limited access to justice for persons with disabilities in a context where the interests and rights concerned are both significant and fundamental.</w:t>
      </w:r>
    </w:p>
    <w:p w14:paraId="5DE3CD68" w14:textId="77777777" w:rsidR="002C55A4" w:rsidRDefault="00184E3E" w:rsidP="00EC4B9A">
      <w:pPr>
        <w:jc w:val="both"/>
        <w:rPr>
          <w:lang w:eastAsia="en-AU"/>
        </w:rPr>
      </w:pPr>
      <w:r>
        <w:rPr>
          <w:lang w:eastAsia="en-AU"/>
        </w:rPr>
        <w:t>Third</w:t>
      </w:r>
      <w:r w:rsidR="00546505">
        <w:rPr>
          <w:lang w:eastAsia="en-AU"/>
        </w:rPr>
        <w:t xml:space="preserve">, we provide </w:t>
      </w:r>
      <w:r w:rsidR="00751D70">
        <w:rPr>
          <w:lang w:eastAsia="en-AU"/>
        </w:rPr>
        <w:t xml:space="preserve">our </w:t>
      </w:r>
      <w:r w:rsidR="00B25F0F">
        <w:rPr>
          <w:lang w:eastAsia="en-AU"/>
        </w:rPr>
        <w:t>comment on</w:t>
      </w:r>
      <w:r w:rsidR="006E0F1D">
        <w:rPr>
          <w:lang w:eastAsia="en-AU"/>
        </w:rPr>
        <w:t xml:space="preserve"> Art 13 </w:t>
      </w:r>
      <w:r w:rsidR="00821083">
        <w:rPr>
          <w:lang w:eastAsia="en-AU"/>
        </w:rPr>
        <w:t>as</w:t>
      </w:r>
      <w:r w:rsidR="00575E43">
        <w:rPr>
          <w:lang w:eastAsia="en-AU"/>
        </w:rPr>
        <w:t xml:space="preserve"> informed by our practice experience of</w:t>
      </w:r>
      <w:r w:rsidR="00B25F0F">
        <w:rPr>
          <w:lang w:eastAsia="en-AU"/>
        </w:rPr>
        <w:t xml:space="preserve"> the relationship between access to justice for persons with disabilities and accessible specialist legal</w:t>
      </w:r>
      <w:r w:rsidR="008A6F14">
        <w:rPr>
          <w:lang w:eastAsia="en-AU"/>
        </w:rPr>
        <w:t xml:space="preserve"> aid</w:t>
      </w:r>
      <w:r w:rsidR="00B25F0F">
        <w:rPr>
          <w:lang w:eastAsia="en-AU"/>
        </w:rPr>
        <w:t xml:space="preserve"> assistance and support services. </w:t>
      </w:r>
    </w:p>
    <w:p w14:paraId="074BFA75" w14:textId="77777777" w:rsidR="00575E43" w:rsidRDefault="00184E3E" w:rsidP="00EC4B9A">
      <w:pPr>
        <w:jc w:val="both"/>
        <w:rPr>
          <w:lang w:eastAsia="en-AU"/>
        </w:rPr>
      </w:pPr>
      <w:r>
        <w:rPr>
          <w:lang w:eastAsia="en-AU"/>
        </w:rPr>
        <w:t>Fourth</w:t>
      </w:r>
      <w:r w:rsidR="00546505">
        <w:rPr>
          <w:lang w:eastAsia="en-AU"/>
        </w:rPr>
        <w:t>, we</w:t>
      </w:r>
      <w:r w:rsidR="00243203">
        <w:rPr>
          <w:lang w:eastAsia="en-AU"/>
        </w:rPr>
        <w:t xml:space="preserve"> outline the legal, policy framework and legal aid funding issues </w:t>
      </w:r>
      <w:r w:rsidR="00575E43">
        <w:rPr>
          <w:lang w:eastAsia="en-AU"/>
        </w:rPr>
        <w:t>in Australia</w:t>
      </w:r>
      <w:r w:rsidR="00243203">
        <w:rPr>
          <w:lang w:eastAsia="en-AU"/>
        </w:rPr>
        <w:t xml:space="preserve"> and Victoria specifically</w:t>
      </w:r>
      <w:r w:rsidR="00575E43">
        <w:rPr>
          <w:lang w:eastAsia="en-AU"/>
        </w:rPr>
        <w:t xml:space="preserve"> on access to justice for persons with disabilities, including the provision of procedural and age-appropriate supports in judicial, quasi-judicial and administrative processes.</w:t>
      </w:r>
    </w:p>
    <w:p w14:paraId="08D40EA8" w14:textId="77777777" w:rsidR="00D67FE5" w:rsidRDefault="00D67FE5" w:rsidP="00D67FE5">
      <w:pPr>
        <w:jc w:val="both"/>
        <w:rPr>
          <w:lang w:eastAsia="en-AU"/>
        </w:rPr>
      </w:pPr>
    </w:p>
    <w:p w14:paraId="4A4306B1" w14:textId="77777777" w:rsidR="00546505" w:rsidRDefault="00546505">
      <w:pPr>
        <w:spacing w:after="0" w:line="240" w:lineRule="auto"/>
        <w:rPr>
          <w:rFonts w:cs="Arial"/>
          <w:b/>
          <w:bCs/>
          <w:color w:val="971A4B"/>
          <w:kern w:val="32"/>
          <w:sz w:val="32"/>
          <w:szCs w:val="32"/>
          <w:lang w:eastAsia="en-AU"/>
        </w:rPr>
      </w:pPr>
      <w:r>
        <w:br w:type="page"/>
      </w:r>
    </w:p>
    <w:p w14:paraId="08648EF8" w14:textId="77777777" w:rsidR="002C55A4" w:rsidRDefault="00675624" w:rsidP="00B10556">
      <w:pPr>
        <w:pStyle w:val="Heading1"/>
      </w:pPr>
      <w:bookmarkStart w:id="3" w:name="_Toc482020684"/>
      <w:r>
        <w:lastRenderedPageBreak/>
        <w:t>Snapshot of legal issues, d</w:t>
      </w:r>
      <w:r w:rsidR="003D1A00">
        <w:t xml:space="preserve">isability and </w:t>
      </w:r>
      <w:r w:rsidR="00184E3E">
        <w:t>l</w:t>
      </w:r>
      <w:r w:rsidR="003D1A00">
        <w:t xml:space="preserve">egal </w:t>
      </w:r>
      <w:r w:rsidR="00184E3E">
        <w:t>a</w:t>
      </w:r>
      <w:r w:rsidR="003D1A00">
        <w:t>id in Australia</w:t>
      </w:r>
      <w:bookmarkEnd w:id="3"/>
    </w:p>
    <w:p w14:paraId="14CD6B55" w14:textId="77777777" w:rsidR="00766C05" w:rsidRDefault="00766C05" w:rsidP="00580CB6">
      <w:pPr>
        <w:jc w:val="both"/>
        <w:rPr>
          <w:lang w:eastAsia="en-AU"/>
        </w:rPr>
      </w:pPr>
      <w:r w:rsidRPr="009B21DF">
        <w:rPr>
          <w:lang w:eastAsia="en-AU"/>
        </w:rPr>
        <w:t xml:space="preserve">Australian disability law and policy </w:t>
      </w:r>
      <w:r>
        <w:rPr>
          <w:lang w:eastAsia="en-AU"/>
        </w:rPr>
        <w:t>is</w:t>
      </w:r>
      <w:r w:rsidRPr="009B21DF">
        <w:rPr>
          <w:lang w:eastAsia="en-AU"/>
        </w:rPr>
        <w:t xml:space="preserve"> </w:t>
      </w:r>
      <w:r>
        <w:rPr>
          <w:lang w:eastAsia="en-AU"/>
        </w:rPr>
        <w:t>heavily influenced</w:t>
      </w:r>
      <w:r w:rsidRPr="009B21DF">
        <w:rPr>
          <w:lang w:eastAsia="en-AU"/>
        </w:rPr>
        <w:t xml:space="preserve"> by the CRPD</w:t>
      </w:r>
      <w:r w:rsidR="00821083">
        <w:rPr>
          <w:lang w:eastAsia="en-AU"/>
        </w:rPr>
        <w:t xml:space="preserve">.  It is difficult, however, </w:t>
      </w:r>
      <w:r>
        <w:rPr>
          <w:lang w:eastAsia="en-AU"/>
        </w:rPr>
        <w:t>for a person to assert their rights if they:</w:t>
      </w:r>
    </w:p>
    <w:p w14:paraId="279B47F0" w14:textId="77777777" w:rsidR="00766C05" w:rsidRDefault="00766C05" w:rsidP="00580CB6">
      <w:pPr>
        <w:pStyle w:val="ListParagraph"/>
        <w:numPr>
          <w:ilvl w:val="0"/>
          <w:numId w:val="18"/>
        </w:numPr>
        <w:jc w:val="both"/>
        <w:rPr>
          <w:lang w:eastAsia="en-AU"/>
        </w:rPr>
      </w:pPr>
      <w:r>
        <w:rPr>
          <w:lang w:eastAsia="en-AU"/>
        </w:rPr>
        <w:t>are not aware of their rights</w:t>
      </w:r>
    </w:p>
    <w:p w14:paraId="0B23948A" w14:textId="77777777" w:rsidR="00766C05" w:rsidRDefault="00766C05" w:rsidP="00580CB6">
      <w:pPr>
        <w:pStyle w:val="ListParagraph"/>
        <w:numPr>
          <w:ilvl w:val="0"/>
          <w:numId w:val="18"/>
        </w:numPr>
        <w:jc w:val="both"/>
        <w:rPr>
          <w:lang w:eastAsia="en-AU"/>
        </w:rPr>
      </w:pPr>
      <w:r>
        <w:rPr>
          <w:lang w:eastAsia="en-AU"/>
        </w:rPr>
        <w:t>cannot identify that the</w:t>
      </w:r>
      <w:r w:rsidR="00256541">
        <w:rPr>
          <w:lang w:eastAsia="en-AU"/>
        </w:rPr>
        <w:t>ir rights</w:t>
      </w:r>
      <w:r>
        <w:rPr>
          <w:lang w:eastAsia="en-AU"/>
        </w:rPr>
        <w:t xml:space="preserve"> have been infringed</w:t>
      </w:r>
    </w:p>
    <w:p w14:paraId="6F061725" w14:textId="77777777" w:rsidR="00766C05" w:rsidRDefault="00766C05" w:rsidP="00580CB6">
      <w:pPr>
        <w:pStyle w:val="ListParagraph"/>
        <w:numPr>
          <w:ilvl w:val="0"/>
          <w:numId w:val="18"/>
        </w:numPr>
        <w:jc w:val="both"/>
        <w:rPr>
          <w:lang w:eastAsia="en-AU"/>
        </w:rPr>
      </w:pPr>
      <w:r>
        <w:rPr>
          <w:lang w:eastAsia="en-AU"/>
        </w:rPr>
        <w:t>do not know how to exercise their rights</w:t>
      </w:r>
    </w:p>
    <w:p w14:paraId="57B2DC4D" w14:textId="77777777" w:rsidR="00766C05" w:rsidRPr="00F161C6" w:rsidRDefault="00766C05" w:rsidP="00580CB6">
      <w:pPr>
        <w:pStyle w:val="ListParagraph"/>
        <w:numPr>
          <w:ilvl w:val="0"/>
          <w:numId w:val="18"/>
        </w:numPr>
        <w:jc w:val="both"/>
        <w:rPr>
          <w:lang w:eastAsia="en-AU"/>
        </w:rPr>
      </w:pPr>
      <w:r>
        <w:rPr>
          <w:lang w:eastAsia="en-AU"/>
        </w:rPr>
        <w:t>are not supported to exercise their rights.</w:t>
      </w:r>
    </w:p>
    <w:p w14:paraId="03BA6B8A" w14:textId="77777777" w:rsidR="00EF5C69" w:rsidRDefault="00821083" w:rsidP="00580CB6">
      <w:pPr>
        <w:jc w:val="both"/>
      </w:pPr>
      <w:r>
        <w:t xml:space="preserve">These four challenges to realising rights are exacerbated </w:t>
      </w:r>
      <w:r w:rsidR="00675624">
        <w:t>for</w:t>
      </w:r>
      <w:r>
        <w:t xml:space="preserve"> </w:t>
      </w:r>
      <w:r w:rsidR="003D1A00">
        <w:t>clients with disability.  This is because our clients</w:t>
      </w:r>
      <w:r w:rsidR="00766C05">
        <w:t xml:space="preserve"> frequently experience legal and medical interventions, poverty, institutionalisation </w:t>
      </w:r>
      <w:r w:rsidR="00256541">
        <w:t>or</w:t>
      </w:r>
      <w:r w:rsidR="00766C05">
        <w:t xml:space="preserve"> often have higher support needs.</w:t>
      </w:r>
    </w:p>
    <w:p w14:paraId="21BC4063" w14:textId="77777777" w:rsidR="008533DB" w:rsidRDefault="00AB3F67" w:rsidP="00AB3F67">
      <w:pPr>
        <w:jc w:val="both"/>
      </w:pPr>
      <w:r>
        <w:t xml:space="preserve">In a 2014 review of access to justice and the legal assistance sector funding in Australia, the </w:t>
      </w:r>
      <w:r w:rsidRPr="001F3AE8">
        <w:t>Productivity</w:t>
      </w:r>
      <w:r>
        <w:t xml:space="preserve"> Commission</w:t>
      </w:r>
      <w:r>
        <w:rPr>
          <w:rStyle w:val="FootnoteReference"/>
        </w:rPr>
        <w:footnoteReference w:id="3"/>
      </w:r>
      <w:r>
        <w:t xml:space="preserve"> </w:t>
      </w:r>
      <w:r w:rsidR="008533DB">
        <w:t>found that</w:t>
      </w:r>
      <w:r w:rsidR="00675624">
        <w:t xml:space="preserve"> people with disability</w:t>
      </w:r>
      <w:r w:rsidR="008533DB">
        <w:t xml:space="preserve">: </w:t>
      </w:r>
    </w:p>
    <w:p w14:paraId="4DFED2BB" w14:textId="77777777" w:rsidR="00AB3F67" w:rsidRPr="00EC4B9A" w:rsidRDefault="00675624" w:rsidP="00EC4B9A">
      <w:pPr>
        <w:pStyle w:val="ListParagraph"/>
        <w:numPr>
          <w:ilvl w:val="0"/>
          <w:numId w:val="21"/>
        </w:numPr>
        <w:jc w:val="both"/>
      </w:pPr>
      <w:r>
        <w:t>are</w:t>
      </w:r>
      <w:r w:rsidR="008533DB">
        <w:t xml:space="preserve"> </w:t>
      </w:r>
      <w:r w:rsidR="00AB3F67">
        <w:t>more likely than those without disability to have a legal problem;</w:t>
      </w:r>
      <w:r w:rsidR="008533DB" w:rsidRPr="008533DB">
        <w:rPr>
          <w:rStyle w:val="FootnoteReference"/>
        </w:rPr>
        <w:t xml:space="preserve"> </w:t>
      </w:r>
      <w:r w:rsidR="008533DB">
        <w:rPr>
          <w:rStyle w:val="FootnoteReference"/>
        </w:rPr>
        <w:footnoteReference w:id="4"/>
      </w:r>
      <w:r w:rsidR="00AB3F67">
        <w:t xml:space="preserve"> </w:t>
      </w:r>
    </w:p>
    <w:p w14:paraId="43E735B0" w14:textId="77777777" w:rsidR="00675624" w:rsidRDefault="00675624" w:rsidP="00EC4B9A">
      <w:pPr>
        <w:pStyle w:val="ListParagraph"/>
        <w:numPr>
          <w:ilvl w:val="0"/>
          <w:numId w:val="21"/>
        </w:numPr>
        <w:jc w:val="both"/>
      </w:pPr>
      <w:r>
        <w:t>are more</w:t>
      </w:r>
      <w:r w:rsidR="008533DB">
        <w:t xml:space="preserve"> likely to affected by multiple legal problems</w:t>
      </w:r>
      <w:r>
        <w:t>;</w:t>
      </w:r>
      <w:r>
        <w:rPr>
          <w:rStyle w:val="FootnoteReference"/>
        </w:rPr>
        <w:footnoteReference w:id="5"/>
      </w:r>
    </w:p>
    <w:p w14:paraId="18036E0B" w14:textId="77777777" w:rsidR="00AB3F67" w:rsidRDefault="008533DB" w:rsidP="00EC4B9A">
      <w:pPr>
        <w:pStyle w:val="ListParagraph"/>
        <w:numPr>
          <w:ilvl w:val="0"/>
          <w:numId w:val="21"/>
        </w:numPr>
        <w:jc w:val="both"/>
      </w:pPr>
      <w:r>
        <w:t xml:space="preserve">are more likely to </w:t>
      </w:r>
      <w:r w:rsidR="00105DC0">
        <w:t xml:space="preserve">be </w:t>
      </w:r>
      <w:r w:rsidR="00675624">
        <w:t xml:space="preserve">affected by </w:t>
      </w:r>
      <w:r w:rsidR="00AB3F67">
        <w:t xml:space="preserve">complex, clustered, substantial </w:t>
      </w:r>
      <w:r w:rsidR="00675624">
        <w:t>legal problems</w:t>
      </w:r>
      <w:r w:rsidR="00105DC0">
        <w:t xml:space="preserve"> </w:t>
      </w:r>
      <w:r w:rsidR="00AB3F67">
        <w:rPr>
          <w:rStyle w:val="FootnoteReference"/>
        </w:rPr>
        <w:footnoteReference w:id="6"/>
      </w:r>
      <w:r w:rsidR="00AB3F67">
        <w:t xml:space="preserve"> </w:t>
      </w:r>
      <w:r w:rsidR="00105DC0">
        <w:t>which are less likely to be resolved.</w:t>
      </w:r>
    </w:p>
    <w:p w14:paraId="56A14BF3" w14:textId="77777777" w:rsidR="00675624" w:rsidRDefault="003D1A00" w:rsidP="00766C05">
      <w:pPr>
        <w:jc w:val="both"/>
      </w:pPr>
      <w:r>
        <w:t>As a result,</w:t>
      </w:r>
      <w:r w:rsidR="00766C05">
        <w:t xml:space="preserve"> legal assistance has a crucial role in rights protection for persons with disabilities</w:t>
      </w:r>
      <w:r w:rsidR="00AB3F67">
        <w:t xml:space="preserve"> in Australia</w:t>
      </w:r>
      <w:r w:rsidR="00766C05">
        <w:t>.</w:t>
      </w:r>
      <w:r w:rsidR="00EF5C69">
        <w:t xml:space="preserve"> </w:t>
      </w:r>
      <w:r>
        <w:t xml:space="preserve"> </w:t>
      </w:r>
    </w:p>
    <w:p w14:paraId="04EB8CB6" w14:textId="77777777" w:rsidR="00EF5C69" w:rsidRDefault="00766C05" w:rsidP="00766C05">
      <w:pPr>
        <w:jc w:val="both"/>
        <w:rPr>
          <w:lang w:eastAsia="en-AU"/>
        </w:rPr>
      </w:pPr>
      <w:r w:rsidRPr="006C3508">
        <w:t xml:space="preserve">Australia </w:t>
      </w:r>
      <w:r w:rsidR="00AB3F67">
        <w:t>i</w:t>
      </w:r>
      <w:r w:rsidRPr="006C3508">
        <w:t>s</w:t>
      </w:r>
      <w:r w:rsidR="00675624">
        <w:t>, however,</w:t>
      </w:r>
      <w:r w:rsidRPr="006C3508">
        <w:t xml:space="preserve"> one of the lower funding nations</w:t>
      </w:r>
      <w:r>
        <w:t xml:space="preserve"> of legal assistance services per capita</w:t>
      </w:r>
      <w:r w:rsidR="003D1A00">
        <w:t>.</w:t>
      </w:r>
      <w:r>
        <w:rPr>
          <w:rStyle w:val="FootnoteReference"/>
        </w:rPr>
        <w:footnoteReference w:id="7"/>
      </w:r>
      <w:r>
        <w:t xml:space="preserve"> </w:t>
      </w:r>
      <w:r w:rsidR="003D1A00">
        <w:t xml:space="preserve">  The way legal assistance is funded in Australia has an especially acute impact on people with disability</w:t>
      </w:r>
      <w:r w:rsidR="00AB3F67">
        <w:t xml:space="preserve">.  Comparatively limited funding of legal services creates a </w:t>
      </w:r>
      <w:r w:rsidR="00AB3F67" w:rsidRPr="009B21DF">
        <w:rPr>
          <w:lang w:eastAsia="en-AU"/>
        </w:rPr>
        <w:t xml:space="preserve">persistent </w:t>
      </w:r>
      <w:r w:rsidR="00AB3F67">
        <w:rPr>
          <w:lang w:eastAsia="en-AU"/>
        </w:rPr>
        <w:t xml:space="preserve">and significant </w:t>
      </w:r>
      <w:r w:rsidR="00AB3F67">
        <w:t xml:space="preserve">risk (and, in our experience, </w:t>
      </w:r>
      <w:r w:rsidR="00184E3E">
        <w:t xml:space="preserve">an </w:t>
      </w:r>
      <w:r w:rsidR="00AB3F67">
        <w:t>every-day reality) of an</w:t>
      </w:r>
      <w:r w:rsidRPr="009B21DF">
        <w:rPr>
          <w:lang w:eastAsia="en-AU"/>
        </w:rPr>
        <w:t xml:space="preserve"> access to justice ga</w:t>
      </w:r>
      <w:r>
        <w:rPr>
          <w:lang w:eastAsia="en-AU"/>
        </w:rPr>
        <w:t>p</w:t>
      </w:r>
      <w:r w:rsidR="00EF5C69">
        <w:rPr>
          <w:lang w:eastAsia="en-AU"/>
        </w:rPr>
        <w:t xml:space="preserve"> for persons with disabilities</w:t>
      </w:r>
      <w:r>
        <w:rPr>
          <w:lang w:eastAsia="en-AU"/>
        </w:rPr>
        <w:t xml:space="preserve">. </w:t>
      </w:r>
    </w:p>
    <w:p w14:paraId="5B81D704" w14:textId="77777777" w:rsidR="00586766" w:rsidRDefault="00586766" w:rsidP="00766C05">
      <w:pPr>
        <w:jc w:val="both"/>
        <w:rPr>
          <w:lang w:eastAsia="en-AU"/>
        </w:rPr>
      </w:pPr>
    </w:p>
    <w:p w14:paraId="1F229770" w14:textId="77777777" w:rsidR="0080094A" w:rsidRDefault="0080094A" w:rsidP="00766C05">
      <w:pPr>
        <w:jc w:val="both"/>
      </w:pPr>
    </w:p>
    <w:p w14:paraId="0D185525" w14:textId="77777777" w:rsidR="00821083" w:rsidRDefault="00821083">
      <w:pPr>
        <w:spacing w:after="0" w:line="240" w:lineRule="auto"/>
        <w:rPr>
          <w:rFonts w:cs="Arial"/>
          <w:b/>
          <w:bCs/>
          <w:color w:val="971A4B"/>
          <w:kern w:val="32"/>
          <w:sz w:val="32"/>
          <w:szCs w:val="32"/>
          <w:lang w:eastAsia="en-AU"/>
        </w:rPr>
      </w:pPr>
      <w:r>
        <w:br w:type="page"/>
      </w:r>
    </w:p>
    <w:p w14:paraId="79871B6B" w14:textId="77777777" w:rsidR="0080094A" w:rsidRDefault="00B80A72" w:rsidP="00EC4B9A">
      <w:pPr>
        <w:pStyle w:val="Heading1"/>
      </w:pPr>
      <w:bookmarkStart w:id="4" w:name="_Toc482020685"/>
      <w:r>
        <w:lastRenderedPageBreak/>
        <w:t>VLA, mental health and disability law and a</w:t>
      </w:r>
      <w:r w:rsidR="0080094A">
        <w:t xml:space="preserve">ccessible </w:t>
      </w:r>
      <w:r>
        <w:t>j</w:t>
      </w:r>
      <w:r w:rsidR="0080094A">
        <w:t>ustice</w:t>
      </w:r>
      <w:bookmarkEnd w:id="4"/>
    </w:p>
    <w:p w14:paraId="4F33D3CD" w14:textId="77777777" w:rsidR="00141F59" w:rsidRPr="00141F59" w:rsidRDefault="00141F59" w:rsidP="00EC4B9A">
      <w:pPr>
        <w:pStyle w:val="Heading3"/>
      </w:pPr>
      <w:bookmarkStart w:id="5" w:name="_Toc482020686"/>
      <w:r>
        <w:t>Background</w:t>
      </w:r>
      <w:bookmarkEnd w:id="5"/>
    </w:p>
    <w:p w14:paraId="12514A19" w14:textId="77777777" w:rsidR="00141F59" w:rsidRDefault="00766C05" w:rsidP="00141F59">
      <w:pPr>
        <w:jc w:val="both"/>
        <w:rPr>
          <w:lang w:eastAsia="en-AU"/>
        </w:rPr>
      </w:pPr>
      <w:r>
        <w:t>VLA’s most intensive users of legal services</w:t>
      </w:r>
      <w:r w:rsidR="00056072">
        <w:rPr>
          <w:rStyle w:val="FootnoteReference"/>
        </w:rPr>
        <w:footnoteReference w:id="8"/>
      </w:r>
      <w:r>
        <w:t xml:space="preserve"> </w:t>
      </w:r>
      <w:r w:rsidR="00256541">
        <w:t xml:space="preserve">are </w:t>
      </w:r>
      <w:r>
        <w:t>more likely to have a mental health condition, acquired brain</w:t>
      </w:r>
      <w:r w:rsidR="00056072">
        <w:t xml:space="preserve"> injury or cognitive disability, reflecting the wide access to justice gap.</w:t>
      </w:r>
      <w:r w:rsidR="00141F59">
        <w:t xml:space="preserve"> </w:t>
      </w:r>
      <w:r w:rsidR="00141F59">
        <w:rPr>
          <w:lang w:eastAsia="en-AU"/>
        </w:rPr>
        <w:t>This submission will focus on our services for persons appearing before the MHT and who are subject to compulsory treatment orders.</w:t>
      </w:r>
    </w:p>
    <w:p w14:paraId="539466C4" w14:textId="21999EB4" w:rsidR="004B3664" w:rsidRDefault="004B3664" w:rsidP="004B3664">
      <w:pPr>
        <w:jc w:val="both"/>
      </w:pPr>
      <w:r>
        <w:t xml:space="preserve">On any given day in Victoria, </w:t>
      </w:r>
      <w:r w:rsidRPr="00E17280">
        <w:t xml:space="preserve">3,000 people are subject to </w:t>
      </w:r>
      <w:r w:rsidR="00DD4904" w:rsidRPr="00E17280">
        <w:t>orders made by the Mental Health Tribunal (</w:t>
      </w:r>
      <w:r w:rsidR="00DD4904" w:rsidRPr="00E17280">
        <w:rPr>
          <w:b/>
        </w:rPr>
        <w:t>MHT</w:t>
      </w:r>
      <w:r w:rsidR="00DD4904" w:rsidRPr="00E17280">
        <w:t xml:space="preserve">) for </w:t>
      </w:r>
      <w:r w:rsidRPr="00E17280">
        <w:t>compulsory treatment under the Mental Health Act</w:t>
      </w:r>
      <w:r w:rsidR="00DD4904" w:rsidRPr="00E17280">
        <w:t xml:space="preserve">. </w:t>
      </w:r>
      <w:r w:rsidRPr="00E17280">
        <w:t xml:space="preserve"> </w:t>
      </w:r>
      <w:r w:rsidR="00184E3E" w:rsidRPr="00E17280">
        <w:t>Ninety-</w:t>
      </w:r>
      <w:r w:rsidR="00DD4904" w:rsidRPr="00E17280">
        <w:t>three percent</w:t>
      </w:r>
      <w:r w:rsidRPr="00E17280">
        <w:t xml:space="preserve"> of legal representation at the MHT is provided by VLA’s outreach duty lawyer service, with MHDL providing over 70 services every fortnight at over 30 d</w:t>
      </w:r>
      <w:r>
        <w:t>ifferent venues</w:t>
      </w:r>
      <w:r w:rsidR="00E17280">
        <w:t>. In 2015-2016, VLA represented almost 1000 clients on 1185 occasions</w:t>
      </w:r>
      <w:r>
        <w:t xml:space="preserve">. While </w:t>
      </w:r>
      <w:r w:rsidR="00B80A72">
        <w:t xml:space="preserve">we use a nuanced demand model to allocate resources under significant demand pressure, </w:t>
      </w:r>
      <w:r w:rsidR="00C96D88">
        <w:t xml:space="preserve">ultimately </w:t>
      </w:r>
      <w:r>
        <w:t xml:space="preserve">less than 20% of persons </w:t>
      </w:r>
      <w:r w:rsidR="00B80A72">
        <w:t xml:space="preserve">appearing </w:t>
      </w:r>
      <w:r>
        <w:t xml:space="preserve">before the MHT have legal representation, and </w:t>
      </w:r>
      <w:r w:rsidR="00D406CC">
        <w:t xml:space="preserve">service </w:t>
      </w:r>
      <w:r>
        <w:t xml:space="preserve">gaps </w:t>
      </w:r>
      <w:r w:rsidR="00256541">
        <w:t xml:space="preserve">in access to advice services </w:t>
      </w:r>
      <w:r>
        <w:t>heavily contribute to diminished access to justice.</w:t>
      </w:r>
      <w:r>
        <w:rPr>
          <w:rStyle w:val="FootnoteReference"/>
        </w:rPr>
        <w:footnoteReference w:id="9"/>
      </w:r>
    </w:p>
    <w:p w14:paraId="7F374431" w14:textId="77777777" w:rsidR="00546505" w:rsidRPr="00546505" w:rsidRDefault="00546505" w:rsidP="00EC4B9A">
      <w:r>
        <w:t>VLA’s</w:t>
      </w:r>
      <w:r w:rsidRPr="00546505">
        <w:t xml:space="preserve"> mental health program includes Mental Health and Disability Law (</w:t>
      </w:r>
      <w:r w:rsidRPr="00EC4B9A">
        <w:rPr>
          <w:b/>
        </w:rPr>
        <w:t>MHDL</w:t>
      </w:r>
      <w:r w:rsidRPr="00546505">
        <w:t>) and Independent Mental Health Advocacy (</w:t>
      </w:r>
      <w:r w:rsidRPr="00EC4B9A">
        <w:rPr>
          <w:b/>
        </w:rPr>
        <w:t>IMHA</w:t>
      </w:r>
      <w:r w:rsidRPr="00546505">
        <w:t>). MHDL lawyers and IMHA advocates provide integrated legal and non-legal advocacy services for people subject to compulsory treatment under t</w:t>
      </w:r>
      <w:r>
        <w:t xml:space="preserve">he </w:t>
      </w:r>
      <w:r w:rsidR="00B80A72">
        <w:t>Mental Health Act</w:t>
      </w:r>
      <w:r w:rsidRPr="00546505">
        <w:t xml:space="preserve"> and facilitate links to other important services within VLA and to external organisations. </w:t>
      </w:r>
    </w:p>
    <w:p w14:paraId="06400796" w14:textId="77777777" w:rsidR="00546505" w:rsidRPr="00C96D88" w:rsidRDefault="00546505" w:rsidP="00EC4B9A">
      <w:r w:rsidRPr="00C96D88">
        <w:t>We work with</w:t>
      </w:r>
      <w:r w:rsidR="00B80A72" w:rsidRPr="00C96D88">
        <w:t>in</w:t>
      </w:r>
      <w:r w:rsidRPr="00C96D88">
        <w:t xml:space="preserve"> the justice and mental health systems to ensure the rights of people experiencing compulsory treatment are promoted and respected. </w:t>
      </w:r>
    </w:p>
    <w:p w14:paraId="616FBBAA" w14:textId="77777777" w:rsidR="00766C05" w:rsidRDefault="00766C05" w:rsidP="00EC4B9A">
      <w:pPr>
        <w:pStyle w:val="Heading3"/>
      </w:pPr>
      <w:bookmarkStart w:id="6" w:name="_Toc482020687"/>
      <w:r>
        <w:t>Mental Health and Disability Law</w:t>
      </w:r>
      <w:r w:rsidR="00B80A72">
        <w:t xml:space="preserve"> sub-program</w:t>
      </w:r>
      <w:bookmarkEnd w:id="6"/>
    </w:p>
    <w:p w14:paraId="167F4F1D" w14:textId="77777777" w:rsidR="00766C05" w:rsidRDefault="00256541" w:rsidP="00EC4B9A">
      <w:r>
        <w:t xml:space="preserve">VLA’s </w:t>
      </w:r>
      <w:r w:rsidR="00766C05">
        <w:t xml:space="preserve">MHDL </w:t>
      </w:r>
      <w:r>
        <w:t xml:space="preserve">sub-program </w:t>
      </w:r>
      <w:r w:rsidR="00766C05">
        <w:t xml:space="preserve">seeks to promote and facilitate effective access to justice for persons with disabilities through provision of legal and procedural advice, information and representation in both court and tribunal settings.  </w:t>
      </w:r>
    </w:p>
    <w:p w14:paraId="2D0AC3A8" w14:textId="77777777" w:rsidR="00766C05" w:rsidRDefault="00766C05" w:rsidP="00766C05">
      <w:pPr>
        <w:jc w:val="both"/>
        <w:rPr>
          <w:lang w:eastAsia="en-AU"/>
        </w:rPr>
      </w:pPr>
      <w:r>
        <w:rPr>
          <w:lang w:eastAsia="en-AU"/>
        </w:rPr>
        <w:t>Key activities for MHDL include:</w:t>
      </w:r>
    </w:p>
    <w:p w14:paraId="1100DFBF" w14:textId="77777777" w:rsidR="00766C05" w:rsidRDefault="00766C05" w:rsidP="00766C05">
      <w:pPr>
        <w:pStyle w:val="ListParagraph"/>
        <w:numPr>
          <w:ilvl w:val="0"/>
          <w:numId w:val="16"/>
        </w:numPr>
        <w:jc w:val="both"/>
        <w:rPr>
          <w:lang w:eastAsia="en-AU"/>
        </w:rPr>
      </w:pPr>
      <w:r>
        <w:rPr>
          <w:lang w:eastAsia="en-AU"/>
        </w:rPr>
        <w:t>phone advice;</w:t>
      </w:r>
    </w:p>
    <w:p w14:paraId="69946273" w14:textId="77777777" w:rsidR="00766C05" w:rsidRDefault="00766C05" w:rsidP="00766C05">
      <w:pPr>
        <w:pStyle w:val="ListParagraph"/>
        <w:numPr>
          <w:ilvl w:val="0"/>
          <w:numId w:val="16"/>
        </w:numPr>
        <w:jc w:val="both"/>
        <w:rPr>
          <w:lang w:eastAsia="en-AU"/>
        </w:rPr>
      </w:pPr>
      <w:r>
        <w:rPr>
          <w:lang w:eastAsia="en-AU"/>
        </w:rPr>
        <w:t xml:space="preserve">legal assistance related to </w:t>
      </w:r>
      <w:r w:rsidR="00BF25BC">
        <w:rPr>
          <w:lang w:eastAsia="en-AU"/>
        </w:rPr>
        <w:t>Electroconvulsive Treatment Order (</w:t>
      </w:r>
      <w:r w:rsidR="00BF25BC" w:rsidRPr="00BF25BC">
        <w:rPr>
          <w:b/>
          <w:lang w:eastAsia="en-AU"/>
        </w:rPr>
        <w:t>ECT</w:t>
      </w:r>
      <w:r w:rsidR="00BF25BC">
        <w:rPr>
          <w:lang w:eastAsia="en-AU"/>
        </w:rPr>
        <w:t xml:space="preserve">) </w:t>
      </w:r>
      <w:r>
        <w:rPr>
          <w:lang w:eastAsia="en-AU"/>
        </w:rPr>
        <w:t xml:space="preserve">and </w:t>
      </w:r>
      <w:r w:rsidR="00BF25BC">
        <w:rPr>
          <w:lang w:eastAsia="en-AU"/>
        </w:rPr>
        <w:t>Inpatient Treatment Order (</w:t>
      </w:r>
      <w:r w:rsidRPr="00BF25BC">
        <w:rPr>
          <w:b/>
          <w:lang w:eastAsia="en-AU"/>
        </w:rPr>
        <w:t>ITO</w:t>
      </w:r>
      <w:r w:rsidR="00BF25BC">
        <w:rPr>
          <w:lang w:eastAsia="en-AU"/>
        </w:rPr>
        <w:t>)</w:t>
      </w:r>
      <w:r>
        <w:rPr>
          <w:lang w:eastAsia="en-AU"/>
        </w:rPr>
        <w:t xml:space="preserve"> matters and legal advice concerning </w:t>
      </w:r>
      <w:r w:rsidR="00BF25BC">
        <w:rPr>
          <w:lang w:eastAsia="en-AU"/>
        </w:rPr>
        <w:t>Community Treatment Order (</w:t>
      </w:r>
      <w:r w:rsidRPr="00212B06">
        <w:rPr>
          <w:b/>
          <w:lang w:eastAsia="en-AU"/>
        </w:rPr>
        <w:t>CTO</w:t>
      </w:r>
      <w:r w:rsidR="00BF25BC">
        <w:rPr>
          <w:lang w:eastAsia="en-AU"/>
        </w:rPr>
        <w:t>)</w:t>
      </w:r>
      <w:r>
        <w:rPr>
          <w:lang w:eastAsia="en-AU"/>
        </w:rPr>
        <w:t xml:space="preserve"> matters under the Mental Health Act;</w:t>
      </w:r>
    </w:p>
    <w:p w14:paraId="7C91BB3A" w14:textId="77777777" w:rsidR="00766C05" w:rsidRDefault="00766C05" w:rsidP="00766C05">
      <w:pPr>
        <w:pStyle w:val="ListParagraph"/>
        <w:numPr>
          <w:ilvl w:val="0"/>
          <w:numId w:val="16"/>
        </w:numPr>
        <w:jc w:val="both"/>
        <w:rPr>
          <w:lang w:eastAsia="en-AU"/>
        </w:rPr>
      </w:pPr>
      <w:r>
        <w:rPr>
          <w:lang w:eastAsia="en-AU"/>
        </w:rPr>
        <w:t xml:space="preserve">legal assistance for Forensic Leave Panel hearings for those under the </w:t>
      </w:r>
      <w:r w:rsidRPr="00D64C27">
        <w:rPr>
          <w:i/>
          <w:lang w:eastAsia="en-AU"/>
        </w:rPr>
        <w:t>Crimes (Mental Impairment and Unfitness to be Tried Act</w:t>
      </w:r>
      <w:r>
        <w:rPr>
          <w:i/>
          <w:lang w:eastAsia="en-AU"/>
        </w:rPr>
        <w:t xml:space="preserve"> </w:t>
      </w:r>
      <w:r>
        <w:rPr>
          <w:lang w:eastAsia="en-AU"/>
        </w:rPr>
        <w:t>(</w:t>
      </w:r>
      <w:r w:rsidRPr="00D64C27">
        <w:rPr>
          <w:b/>
          <w:lang w:eastAsia="en-AU"/>
        </w:rPr>
        <w:t>CMIA</w:t>
      </w:r>
      <w:r>
        <w:rPr>
          <w:lang w:eastAsia="en-AU"/>
        </w:rPr>
        <w:t>)</w:t>
      </w:r>
      <w:r w:rsidRPr="00D64C27">
        <w:rPr>
          <w:i/>
          <w:lang w:eastAsia="en-AU"/>
        </w:rPr>
        <w:t xml:space="preserve">; </w:t>
      </w:r>
      <w:r>
        <w:rPr>
          <w:lang w:eastAsia="en-AU"/>
        </w:rPr>
        <w:t>and</w:t>
      </w:r>
    </w:p>
    <w:p w14:paraId="7DC89E05" w14:textId="77777777" w:rsidR="00766C05" w:rsidRDefault="00766C05" w:rsidP="00766C05">
      <w:pPr>
        <w:pStyle w:val="ListParagraph"/>
        <w:numPr>
          <w:ilvl w:val="0"/>
          <w:numId w:val="16"/>
        </w:numPr>
        <w:jc w:val="both"/>
        <w:rPr>
          <w:lang w:eastAsia="en-AU"/>
        </w:rPr>
      </w:pPr>
      <w:r>
        <w:rPr>
          <w:lang w:eastAsia="en-AU"/>
        </w:rPr>
        <w:t xml:space="preserve">legal assistance for Guardianship and Administration orders under </w:t>
      </w:r>
      <w:r w:rsidRPr="00B80A72">
        <w:rPr>
          <w:lang w:eastAsia="en-AU"/>
        </w:rPr>
        <w:t>t</w:t>
      </w:r>
      <w:r w:rsidRPr="00EC4B9A">
        <w:rPr>
          <w:lang w:eastAsia="en-AU"/>
        </w:rPr>
        <w:t>he</w:t>
      </w:r>
      <w:r>
        <w:rPr>
          <w:lang w:eastAsia="en-AU"/>
        </w:rPr>
        <w:t xml:space="preserve"> </w:t>
      </w:r>
      <w:r w:rsidR="00256541">
        <w:rPr>
          <w:i/>
          <w:lang w:eastAsia="en-AU"/>
        </w:rPr>
        <w:t>Guardianship and Administration Act</w:t>
      </w:r>
      <w:r w:rsidR="00B80A72">
        <w:rPr>
          <w:i/>
          <w:lang w:eastAsia="en-AU"/>
        </w:rPr>
        <w:t xml:space="preserve"> </w:t>
      </w:r>
      <w:r w:rsidR="00B80A72" w:rsidRPr="00EC4B9A">
        <w:rPr>
          <w:i/>
          <w:lang w:eastAsia="en-AU"/>
        </w:rPr>
        <w:t>1986</w:t>
      </w:r>
      <w:r w:rsidR="00B80A72">
        <w:rPr>
          <w:lang w:eastAsia="en-AU"/>
        </w:rPr>
        <w:t xml:space="preserve"> (Vic)</w:t>
      </w:r>
      <w:r w:rsidR="00256541">
        <w:rPr>
          <w:lang w:eastAsia="en-AU"/>
        </w:rPr>
        <w:t>.</w:t>
      </w:r>
    </w:p>
    <w:p w14:paraId="1463330F" w14:textId="77777777" w:rsidR="00C245A1" w:rsidRDefault="00D34AE5" w:rsidP="00C245A1">
      <w:pPr>
        <w:jc w:val="both"/>
        <w:rPr>
          <w:lang w:eastAsia="en-AU"/>
        </w:rPr>
      </w:pPr>
      <w:r>
        <w:rPr>
          <w:lang w:eastAsia="en-AU"/>
        </w:rPr>
        <w:t>The MHDL sub-program takes a rights-based approach to practice, flowing from</w:t>
      </w:r>
      <w:r w:rsidR="00586766">
        <w:rPr>
          <w:lang w:eastAsia="en-AU"/>
        </w:rPr>
        <w:t>, in part, the right based orientation of the Mental Health Act</w:t>
      </w:r>
      <w:r>
        <w:rPr>
          <w:lang w:eastAsia="en-AU"/>
        </w:rPr>
        <w:t xml:space="preserve">.  </w:t>
      </w:r>
      <w:r w:rsidR="00C245A1">
        <w:rPr>
          <w:lang w:eastAsia="en-AU"/>
        </w:rPr>
        <w:t xml:space="preserve">Our approach to inclusive and rights-based legal assistance has demonstrated that lawyers can support persons with disabilities </w:t>
      </w:r>
      <w:r w:rsidR="00184E3E">
        <w:rPr>
          <w:lang w:eastAsia="en-AU"/>
        </w:rPr>
        <w:t xml:space="preserve">to meaningfully access oversight </w:t>
      </w:r>
      <w:r w:rsidR="00C245A1">
        <w:rPr>
          <w:lang w:eastAsia="en-AU"/>
        </w:rPr>
        <w:t>mechanisms and minimise restrictions on human rights in a number of ways:</w:t>
      </w:r>
    </w:p>
    <w:p w14:paraId="3CAA8910" w14:textId="77777777" w:rsidR="00C245A1" w:rsidRDefault="00C245A1" w:rsidP="00C245A1">
      <w:pPr>
        <w:pStyle w:val="ListParagraph"/>
        <w:numPr>
          <w:ilvl w:val="0"/>
          <w:numId w:val="19"/>
        </w:numPr>
        <w:jc w:val="both"/>
        <w:rPr>
          <w:lang w:eastAsia="en-AU"/>
        </w:rPr>
      </w:pPr>
      <w:r>
        <w:rPr>
          <w:lang w:eastAsia="en-AU"/>
        </w:rPr>
        <w:lastRenderedPageBreak/>
        <w:t xml:space="preserve">listening and acting on instructions rather than perceived ‘best interests’ to ensure their wishes and voice </w:t>
      </w:r>
      <w:r w:rsidR="00141F59">
        <w:rPr>
          <w:lang w:eastAsia="en-AU"/>
        </w:rPr>
        <w:t xml:space="preserve">are </w:t>
      </w:r>
      <w:r>
        <w:rPr>
          <w:lang w:eastAsia="en-AU"/>
        </w:rPr>
        <w:t>heard</w:t>
      </w:r>
    </w:p>
    <w:p w14:paraId="7558F0A5" w14:textId="77777777" w:rsidR="00C245A1" w:rsidRDefault="00C245A1" w:rsidP="00C245A1">
      <w:pPr>
        <w:pStyle w:val="ListParagraph"/>
        <w:numPr>
          <w:ilvl w:val="0"/>
          <w:numId w:val="19"/>
        </w:numPr>
        <w:jc w:val="both"/>
        <w:rPr>
          <w:lang w:eastAsia="en-AU"/>
        </w:rPr>
      </w:pPr>
      <w:r>
        <w:rPr>
          <w:lang w:eastAsia="en-AU"/>
        </w:rPr>
        <w:t>taking action to remove legal restrictions on rights and to increase freedoms (such as access to community activities for inpatients)</w:t>
      </w:r>
    </w:p>
    <w:p w14:paraId="7014CEDE" w14:textId="77777777" w:rsidR="00C245A1" w:rsidRDefault="00C245A1" w:rsidP="00C245A1">
      <w:pPr>
        <w:pStyle w:val="ListParagraph"/>
        <w:numPr>
          <w:ilvl w:val="0"/>
          <w:numId w:val="19"/>
        </w:numPr>
        <w:jc w:val="both"/>
        <w:rPr>
          <w:lang w:eastAsia="en-AU"/>
        </w:rPr>
      </w:pPr>
      <w:r>
        <w:rPr>
          <w:lang w:eastAsia="en-AU"/>
        </w:rPr>
        <w:t>supporting the person to participate in the hearings and decisions that directly affect them</w:t>
      </w:r>
    </w:p>
    <w:p w14:paraId="69510E43" w14:textId="77777777" w:rsidR="00141F59" w:rsidRDefault="00C245A1" w:rsidP="00141F59">
      <w:pPr>
        <w:pStyle w:val="ListParagraph"/>
        <w:numPr>
          <w:ilvl w:val="0"/>
          <w:numId w:val="19"/>
        </w:numPr>
        <w:jc w:val="both"/>
        <w:rPr>
          <w:lang w:eastAsia="en-AU"/>
        </w:rPr>
      </w:pPr>
      <w:r>
        <w:rPr>
          <w:lang w:eastAsia="en-AU"/>
        </w:rPr>
        <w:t>making sure hearings are conducted</w:t>
      </w:r>
      <w:r w:rsidR="00141F59">
        <w:rPr>
          <w:lang w:eastAsia="en-AU"/>
        </w:rPr>
        <w:t xml:space="preserve"> </w:t>
      </w:r>
      <w:r>
        <w:rPr>
          <w:lang w:eastAsia="en-AU"/>
        </w:rPr>
        <w:t xml:space="preserve">inclusively and fairly and that </w:t>
      </w:r>
      <w:r w:rsidR="00141F59">
        <w:rPr>
          <w:lang w:eastAsia="en-AU"/>
        </w:rPr>
        <w:t xml:space="preserve">the governing legislative tests lead the analysis, rather </w:t>
      </w:r>
      <w:r>
        <w:rPr>
          <w:lang w:eastAsia="en-AU"/>
        </w:rPr>
        <w:t xml:space="preserve">than </w:t>
      </w:r>
      <w:r w:rsidR="00141F59">
        <w:rPr>
          <w:lang w:eastAsia="en-AU"/>
        </w:rPr>
        <w:t>a broader discussion of a client’s ‘</w:t>
      </w:r>
      <w:r>
        <w:rPr>
          <w:lang w:eastAsia="en-AU"/>
        </w:rPr>
        <w:t>best interests</w:t>
      </w:r>
      <w:r w:rsidR="00141F59">
        <w:rPr>
          <w:lang w:eastAsia="en-AU"/>
        </w:rPr>
        <w:t>’</w:t>
      </w:r>
      <w:r>
        <w:rPr>
          <w:lang w:eastAsia="en-AU"/>
        </w:rPr>
        <w:t xml:space="preserve"> </w:t>
      </w:r>
    </w:p>
    <w:p w14:paraId="659D04AB" w14:textId="77777777" w:rsidR="00C245A1" w:rsidRDefault="00141F59" w:rsidP="00141F59">
      <w:pPr>
        <w:pStyle w:val="ListParagraph"/>
        <w:numPr>
          <w:ilvl w:val="0"/>
          <w:numId w:val="19"/>
        </w:numPr>
        <w:jc w:val="both"/>
        <w:rPr>
          <w:lang w:eastAsia="en-AU"/>
        </w:rPr>
      </w:pPr>
      <w:r>
        <w:rPr>
          <w:lang w:eastAsia="en-AU"/>
        </w:rPr>
        <w:t xml:space="preserve">ensuring </w:t>
      </w:r>
      <w:r w:rsidR="00C245A1">
        <w:rPr>
          <w:lang w:eastAsia="en-AU"/>
        </w:rPr>
        <w:t>decisions impacting human rights restrictions are legally valid and evidence-based</w:t>
      </w:r>
    </w:p>
    <w:p w14:paraId="53C8F647" w14:textId="77777777" w:rsidR="00C245A1" w:rsidRDefault="00C245A1" w:rsidP="00C245A1">
      <w:pPr>
        <w:pStyle w:val="ListParagraph"/>
        <w:numPr>
          <w:ilvl w:val="0"/>
          <w:numId w:val="19"/>
        </w:numPr>
        <w:jc w:val="both"/>
        <w:rPr>
          <w:lang w:eastAsia="en-AU"/>
        </w:rPr>
      </w:pPr>
      <w:r>
        <w:rPr>
          <w:lang w:eastAsia="en-AU"/>
        </w:rPr>
        <w:t xml:space="preserve">helping </w:t>
      </w:r>
      <w:proofErr w:type="gramStart"/>
      <w:r>
        <w:rPr>
          <w:lang w:eastAsia="en-AU"/>
        </w:rPr>
        <w:t>those subject</w:t>
      </w:r>
      <w:proofErr w:type="gramEnd"/>
      <w:r>
        <w:rPr>
          <w:lang w:eastAsia="en-AU"/>
        </w:rPr>
        <w:t xml:space="preserve"> to orders and other interventions to understand the rationale behind the restrictions on them </w:t>
      </w:r>
      <w:r w:rsidR="00141F59">
        <w:rPr>
          <w:lang w:eastAsia="en-AU"/>
        </w:rPr>
        <w:t xml:space="preserve">and how </w:t>
      </w:r>
      <w:r>
        <w:rPr>
          <w:lang w:eastAsia="en-AU"/>
        </w:rPr>
        <w:t>to minimise or challenge those restrictions</w:t>
      </w:r>
    </w:p>
    <w:p w14:paraId="5F9CD9AF" w14:textId="77777777" w:rsidR="00C245A1" w:rsidRDefault="00C245A1" w:rsidP="00C245A1">
      <w:pPr>
        <w:pStyle w:val="ListParagraph"/>
        <w:numPr>
          <w:ilvl w:val="0"/>
          <w:numId w:val="19"/>
        </w:numPr>
        <w:jc w:val="both"/>
        <w:rPr>
          <w:lang w:eastAsia="en-AU"/>
        </w:rPr>
      </w:pPr>
      <w:r>
        <w:rPr>
          <w:lang w:eastAsia="en-AU"/>
        </w:rPr>
        <w:t>check, influence and challenge</w:t>
      </w:r>
      <w:r w:rsidR="00184E3E">
        <w:rPr>
          <w:lang w:eastAsia="en-AU"/>
        </w:rPr>
        <w:t>,</w:t>
      </w:r>
      <w:r>
        <w:rPr>
          <w:lang w:eastAsia="en-AU"/>
        </w:rPr>
        <w:t xml:space="preserve"> when necessary</w:t>
      </w:r>
      <w:r w:rsidR="00184E3E">
        <w:rPr>
          <w:lang w:eastAsia="en-AU"/>
        </w:rPr>
        <w:t>,</w:t>
      </w:r>
      <w:r>
        <w:rPr>
          <w:lang w:eastAsia="en-AU"/>
        </w:rPr>
        <w:t xml:space="preserve"> the way laws operate at a systemic level to maximise compatibility with human rights principles.</w:t>
      </w:r>
    </w:p>
    <w:p w14:paraId="1F57EAE3" w14:textId="77777777" w:rsidR="00586766" w:rsidRDefault="00586766" w:rsidP="00EC4B9A">
      <w:pPr>
        <w:jc w:val="both"/>
        <w:rPr>
          <w:lang w:eastAsia="en-AU"/>
        </w:rPr>
      </w:pPr>
      <w:r>
        <w:rPr>
          <w:lang w:eastAsia="en-AU"/>
        </w:rPr>
        <w:t>We set out key issues of relevan</w:t>
      </w:r>
      <w:r w:rsidR="00DC15D8">
        <w:rPr>
          <w:lang w:eastAsia="en-AU"/>
        </w:rPr>
        <w:t>ce</w:t>
      </w:r>
      <w:r>
        <w:rPr>
          <w:lang w:eastAsia="en-AU"/>
        </w:rPr>
        <w:t xml:space="preserve"> to your study below.</w:t>
      </w:r>
    </w:p>
    <w:p w14:paraId="0ADAD7EA" w14:textId="77777777" w:rsidR="00412699" w:rsidRPr="00EC4B9A" w:rsidRDefault="00412699" w:rsidP="00EC4B9A">
      <w:pPr>
        <w:pStyle w:val="Heading4"/>
        <w:rPr>
          <w:b w:val="0"/>
          <w:i/>
        </w:rPr>
      </w:pPr>
      <w:r w:rsidRPr="00EC4B9A">
        <w:rPr>
          <w:i/>
        </w:rPr>
        <w:t xml:space="preserve">Resource limitations on providing legal assistance </w:t>
      </w:r>
    </w:p>
    <w:p w14:paraId="0899F07F" w14:textId="77777777" w:rsidR="00412699" w:rsidRDefault="00412699" w:rsidP="00412699">
      <w:pPr>
        <w:jc w:val="both"/>
      </w:pPr>
      <w:r>
        <w:t xml:space="preserve">Due to funding limitations, </w:t>
      </w:r>
      <w:r w:rsidR="00256541">
        <w:t>VLA</w:t>
      </w:r>
      <w:r>
        <w:t xml:space="preserve"> cannot provide enough services to meet the demand</w:t>
      </w:r>
      <w:r w:rsidR="00D34AE5">
        <w:t xml:space="preserve"> for our services, </w:t>
      </w:r>
      <w:r>
        <w:t xml:space="preserve">resulting in </w:t>
      </w:r>
      <w:r w:rsidR="00D34AE5">
        <w:t>re</w:t>
      </w:r>
      <w:r w:rsidR="00DC15D8">
        <w:t xml:space="preserve">duced </w:t>
      </w:r>
      <w:r>
        <w:t>access to justice for persons with disabilities.</w:t>
      </w:r>
      <w:r w:rsidR="00256541">
        <w:t xml:space="preserve"> </w:t>
      </w:r>
      <w:r w:rsidR="00D34AE5">
        <w:t xml:space="preserve">In particular, </w:t>
      </w:r>
      <w:r w:rsidR="00256541">
        <w:t xml:space="preserve">VLA is concerned about representation rates for people </w:t>
      </w:r>
      <w:r w:rsidR="00C46025">
        <w:t>facing MHT hearings in Victoria, compared with other jurisdictions.</w:t>
      </w:r>
    </w:p>
    <w:p w14:paraId="14ABEC5D" w14:textId="3478C6E0" w:rsidR="00412699" w:rsidRDefault="00C46025" w:rsidP="00412699">
      <w:pPr>
        <w:jc w:val="both"/>
      </w:pPr>
      <w:r>
        <w:t xml:space="preserve">The position in </w:t>
      </w:r>
      <w:r w:rsidR="00412699">
        <w:t>Victoria is in contrast to comparable jurisdictions, such as New South Wales (77% legally represented in 2014-2015</w:t>
      </w:r>
      <w:r w:rsidR="00412699">
        <w:rPr>
          <w:rStyle w:val="FootnoteReference"/>
        </w:rPr>
        <w:footnoteReference w:id="10"/>
      </w:r>
      <w:r w:rsidR="00412699">
        <w:t>), England, New York and Washington (</w:t>
      </w:r>
      <w:r>
        <w:t xml:space="preserve">in these jurisdictions </w:t>
      </w:r>
      <w:r w:rsidR="00412699">
        <w:t xml:space="preserve">all compulsory inpatients are entitled to legal representation at hearings related to their detention and compulsory treatment). In England, representation is funded without reference to </w:t>
      </w:r>
      <w:r w:rsidR="00381962">
        <w:t xml:space="preserve">a </w:t>
      </w:r>
      <w:r w:rsidR="00412699">
        <w:t>client</w:t>
      </w:r>
      <w:r w:rsidR="00381962">
        <w:t>’s</w:t>
      </w:r>
      <w:r w:rsidR="00412699">
        <w:t xml:space="preserve"> means</w:t>
      </w:r>
      <w:r w:rsidR="00F37A1E">
        <w:t xml:space="preserve">; the </w:t>
      </w:r>
      <w:r w:rsidR="00381962">
        <w:t>only criterion is whether it would be reasonable</w:t>
      </w:r>
      <w:r w:rsidR="00F37A1E">
        <w:t xml:space="preserve">. </w:t>
      </w:r>
      <w:r w:rsidR="00412699">
        <w:t xml:space="preserve"> MHT matters are ‘invariably’ considered reasonable</w:t>
      </w:r>
      <w:r w:rsidR="00F37A1E">
        <w:t xml:space="preserve"> so </w:t>
      </w:r>
      <w:r>
        <w:t>merit funding for legal representation</w:t>
      </w:r>
      <w:r w:rsidR="00412699">
        <w:t>.</w:t>
      </w:r>
      <w:r w:rsidR="00412699">
        <w:rPr>
          <w:rStyle w:val="FootnoteReference"/>
        </w:rPr>
        <w:footnoteReference w:id="11"/>
      </w:r>
    </w:p>
    <w:p w14:paraId="2297766A" w14:textId="77777777" w:rsidR="00766C05" w:rsidRPr="00EC4B9A" w:rsidRDefault="00766C05" w:rsidP="00EC4B9A">
      <w:pPr>
        <w:pStyle w:val="Heading9"/>
        <w:rPr>
          <w:b w:val="0"/>
          <w:i/>
          <w:lang w:eastAsia="en-AU"/>
        </w:rPr>
      </w:pPr>
      <w:r w:rsidRPr="00EC4B9A">
        <w:rPr>
          <w:i/>
          <w:lang w:eastAsia="en-AU"/>
        </w:rPr>
        <w:t xml:space="preserve">Compulsory </w:t>
      </w:r>
      <w:r w:rsidR="00586766" w:rsidRPr="00EC4B9A">
        <w:rPr>
          <w:i/>
          <w:lang w:eastAsia="en-AU"/>
        </w:rPr>
        <w:t>t</w:t>
      </w:r>
      <w:r w:rsidRPr="00EC4B9A">
        <w:rPr>
          <w:i/>
          <w:lang w:eastAsia="en-AU"/>
        </w:rPr>
        <w:t xml:space="preserve">reatment </w:t>
      </w:r>
      <w:r w:rsidR="00586766" w:rsidRPr="00EC4B9A">
        <w:rPr>
          <w:i/>
          <w:lang w:eastAsia="en-AU"/>
        </w:rPr>
        <w:t>and access to justice</w:t>
      </w:r>
    </w:p>
    <w:p w14:paraId="27A6970D" w14:textId="77777777" w:rsidR="00766C05" w:rsidRDefault="00766C05" w:rsidP="00766C05">
      <w:pPr>
        <w:jc w:val="both"/>
        <w:rPr>
          <w:b/>
          <w:lang w:eastAsia="en-AU"/>
        </w:rPr>
      </w:pPr>
      <w:r>
        <w:t xml:space="preserve">There are significant rights implications </w:t>
      </w:r>
      <w:r w:rsidR="00C46025">
        <w:t>arising from the imposition</w:t>
      </w:r>
      <w:r>
        <w:t xml:space="preserve"> of compulsory treatment</w:t>
      </w:r>
      <w:r w:rsidR="00C46025">
        <w:t>.</w:t>
      </w:r>
      <w:r>
        <w:t xml:space="preserve"> </w:t>
      </w:r>
      <w:r w:rsidR="00C46025">
        <w:t>T</w:t>
      </w:r>
      <w:r>
        <w:t>hose subjected to compulsory treatment, including those detained on an inpatient basis to receive that treatment</w:t>
      </w:r>
      <w:r w:rsidR="00C46025">
        <w:t>,</w:t>
      </w:r>
      <w:r>
        <w:t xml:space="preserve"> have many of their rights limited.</w:t>
      </w:r>
      <w:r>
        <w:rPr>
          <w:rStyle w:val="FootnoteReference"/>
        </w:rPr>
        <w:footnoteReference w:id="12"/>
      </w:r>
      <w:r>
        <w:t xml:space="preserve"> </w:t>
      </w:r>
    </w:p>
    <w:p w14:paraId="3CFD9FB2" w14:textId="77777777" w:rsidR="00766C05" w:rsidRDefault="00766C05" w:rsidP="00766C05">
      <w:pPr>
        <w:jc w:val="both"/>
        <w:rPr>
          <w:lang w:eastAsia="en-AU"/>
        </w:rPr>
      </w:pPr>
      <w:r>
        <w:rPr>
          <w:lang w:eastAsia="en-AU"/>
        </w:rPr>
        <w:t>There are significant demand pressures on VLA’s services in this area however</w:t>
      </w:r>
      <w:r w:rsidR="00C46025">
        <w:rPr>
          <w:lang w:eastAsia="en-AU"/>
        </w:rPr>
        <w:t>. A</w:t>
      </w:r>
      <w:r>
        <w:rPr>
          <w:lang w:eastAsia="en-AU"/>
        </w:rPr>
        <w:t xml:space="preserve">fter the </w:t>
      </w:r>
      <w:r w:rsidR="00C46025">
        <w:rPr>
          <w:lang w:eastAsia="en-AU"/>
        </w:rPr>
        <w:t xml:space="preserve">passage of the </w:t>
      </w:r>
      <w:r>
        <w:rPr>
          <w:lang w:eastAsia="en-AU"/>
        </w:rPr>
        <w:t xml:space="preserve">Mental Health Act </w:t>
      </w:r>
      <w:r w:rsidR="00C46025">
        <w:rPr>
          <w:lang w:eastAsia="en-AU"/>
        </w:rPr>
        <w:t>in 2014, there was an</w:t>
      </w:r>
      <w:r>
        <w:rPr>
          <w:lang w:eastAsia="en-AU"/>
        </w:rPr>
        <w:t xml:space="preserve"> increase in MHT sittings. There are service gaps across the state of Victoria for persons facing ITO and ECT orders</w:t>
      </w:r>
      <w:r w:rsidR="00C46025">
        <w:rPr>
          <w:lang w:eastAsia="en-AU"/>
        </w:rPr>
        <w:t>,</w:t>
      </w:r>
      <w:r>
        <w:rPr>
          <w:lang w:eastAsia="en-AU"/>
        </w:rPr>
        <w:t xml:space="preserve"> and persons</w:t>
      </w:r>
      <w:r w:rsidR="00212B06">
        <w:rPr>
          <w:lang w:eastAsia="en-AU"/>
        </w:rPr>
        <w:t xml:space="preserve"> on CTO</w:t>
      </w:r>
      <w:r w:rsidR="00C46025">
        <w:rPr>
          <w:lang w:eastAsia="en-AU"/>
        </w:rPr>
        <w:t>s</w:t>
      </w:r>
      <w:r>
        <w:rPr>
          <w:lang w:eastAsia="en-AU"/>
        </w:rPr>
        <w:t xml:space="preserve"> are </w:t>
      </w:r>
      <w:r w:rsidR="00C46025">
        <w:rPr>
          <w:lang w:eastAsia="en-AU"/>
        </w:rPr>
        <w:t>rarely able to access representation, because of the limited capacity of VLA</w:t>
      </w:r>
      <w:r>
        <w:rPr>
          <w:lang w:eastAsia="en-AU"/>
        </w:rPr>
        <w:t xml:space="preserve"> </w:t>
      </w:r>
      <w:r w:rsidR="00C46025">
        <w:rPr>
          <w:lang w:eastAsia="en-AU"/>
        </w:rPr>
        <w:t xml:space="preserve">to provide </w:t>
      </w:r>
      <w:r>
        <w:rPr>
          <w:lang w:eastAsia="en-AU"/>
        </w:rPr>
        <w:t>duty lawyer services.</w:t>
      </w:r>
    </w:p>
    <w:p w14:paraId="68E43E90" w14:textId="77777777" w:rsidR="00766C05" w:rsidRDefault="00766C05" w:rsidP="00766C05">
      <w:pPr>
        <w:jc w:val="both"/>
      </w:pPr>
      <w:r>
        <w:t>The Mental Health Act require</w:t>
      </w:r>
      <w:r w:rsidR="00C46025">
        <w:t>s</w:t>
      </w:r>
      <w:r>
        <w:t xml:space="preserve"> that treatment be delivered in the least restrictive manner possible with the fewest restrictions on rights and dignity.</w:t>
      </w:r>
      <w:r>
        <w:rPr>
          <w:rStyle w:val="FootnoteReference"/>
        </w:rPr>
        <w:footnoteReference w:id="13"/>
      </w:r>
      <w:r>
        <w:t xml:space="preserve"> </w:t>
      </w:r>
      <w:r w:rsidR="00C46025">
        <w:t>Another goal of the Act was</w:t>
      </w:r>
      <w:r>
        <w:t xml:space="preserve"> to protect the rights of </w:t>
      </w:r>
      <w:r>
        <w:lastRenderedPageBreak/>
        <w:t xml:space="preserve">those receiving assessment or treatment through keeping them informed of their rights and through support to exercise those rights. </w:t>
      </w:r>
      <w:r w:rsidR="00586766">
        <w:t>However, t</w:t>
      </w:r>
      <w:r>
        <w:t xml:space="preserve">hat </w:t>
      </w:r>
      <w:r w:rsidR="00C46025">
        <w:t>goal is not fully realised in a system in which, partly due to resource constraints,</w:t>
      </w:r>
      <w:r w:rsidR="006E3B12">
        <w:t xml:space="preserve"> </w:t>
      </w:r>
      <w:r w:rsidR="00C46025">
        <w:t xml:space="preserve">less than </w:t>
      </w:r>
      <w:r w:rsidR="006E3B12">
        <w:t>one in five</w:t>
      </w:r>
      <w:r>
        <w:t xml:space="preserve"> people before the MHT are legally represented.</w:t>
      </w:r>
    </w:p>
    <w:p w14:paraId="1740FE6B" w14:textId="77777777" w:rsidR="00C245A1" w:rsidRPr="00EC4B9A" w:rsidRDefault="00C245A1" w:rsidP="00EC4B9A">
      <w:pPr>
        <w:pStyle w:val="Heading9"/>
        <w:rPr>
          <w:i/>
          <w:lang w:eastAsia="en-AU"/>
        </w:rPr>
      </w:pPr>
      <w:r w:rsidRPr="00EC4B9A">
        <w:rPr>
          <w:i/>
          <w:lang w:eastAsia="en-AU"/>
        </w:rPr>
        <w:t>Service Design</w:t>
      </w:r>
    </w:p>
    <w:p w14:paraId="336D1C20" w14:textId="2192F770" w:rsidR="00766C05" w:rsidRDefault="00766C05" w:rsidP="00766C05">
      <w:pPr>
        <w:jc w:val="both"/>
      </w:pPr>
      <w:r>
        <w:t xml:space="preserve">MHDL’s service model has had to adapt to ensure those experiencing the greatest imposition on their rights and autonomy can be legally represented with our limited resources. Accordingly, </w:t>
      </w:r>
      <w:r w:rsidR="00F37A1E">
        <w:t>VLA</w:t>
      </w:r>
      <w:r>
        <w:t xml:space="preserve"> prioritise</w:t>
      </w:r>
      <w:r w:rsidR="00F37A1E">
        <w:t>s</w:t>
      </w:r>
      <w:r>
        <w:t xml:space="preserve"> those who are subject to ECT orders</w:t>
      </w:r>
      <w:r w:rsidR="00F37A1E">
        <w:t>. We</w:t>
      </w:r>
      <w:r>
        <w:t xml:space="preserve"> recognise the permanent impact ECT can have on a person</w:t>
      </w:r>
      <w:r w:rsidR="00F37A1E">
        <w:t xml:space="preserve">, </w:t>
      </w:r>
      <w:r>
        <w:t>the side-effects of ECT impair</w:t>
      </w:r>
      <w:r w:rsidR="00F37A1E">
        <w:t xml:space="preserve">ing a </w:t>
      </w:r>
      <w:r>
        <w:t>person</w:t>
      </w:r>
      <w:r w:rsidR="00F37A1E">
        <w:t>’s ability to self-represent, and have significant concerns with medical treatment without consent.</w:t>
      </w:r>
    </w:p>
    <w:p w14:paraId="7BDCB583" w14:textId="77777777" w:rsidR="00766C05" w:rsidRDefault="00766C05" w:rsidP="00766C05">
      <w:pPr>
        <w:jc w:val="both"/>
      </w:pPr>
      <w:r>
        <w:t xml:space="preserve">Our service also prioritises </w:t>
      </w:r>
      <w:r w:rsidR="00586766">
        <w:t xml:space="preserve">people </w:t>
      </w:r>
      <w:r>
        <w:t xml:space="preserve">subject to ITOs, particularly those who are experiencing their first involuntary admission due to the significant imposition and limitations on their rights and personal autonomy. </w:t>
      </w:r>
    </w:p>
    <w:p w14:paraId="5D2C6424" w14:textId="77777777" w:rsidR="00766C05" w:rsidRDefault="00766C05" w:rsidP="00766C05">
      <w:pPr>
        <w:jc w:val="both"/>
      </w:pPr>
      <w:r>
        <w:t>Due to resource constraints, we cannot represent everyone before the MHT. However, we allocate our existing resources in accordance with the following principles:</w:t>
      </w:r>
    </w:p>
    <w:p w14:paraId="0B0A952B" w14:textId="77777777" w:rsidR="00766C05" w:rsidRDefault="00766C05" w:rsidP="00766C05">
      <w:pPr>
        <w:pStyle w:val="ListParagraph"/>
        <w:numPr>
          <w:ilvl w:val="0"/>
          <w:numId w:val="17"/>
        </w:numPr>
        <w:jc w:val="both"/>
      </w:pPr>
      <w:r>
        <w:t>risk of fundamental rights infringement, such as ECT;</w:t>
      </w:r>
    </w:p>
    <w:p w14:paraId="30094F2A" w14:textId="77777777" w:rsidR="00766C05" w:rsidRDefault="00766C05" w:rsidP="00766C05">
      <w:pPr>
        <w:pStyle w:val="ListParagraph"/>
        <w:numPr>
          <w:ilvl w:val="0"/>
          <w:numId w:val="17"/>
        </w:numPr>
        <w:jc w:val="both"/>
      </w:pPr>
      <w:r>
        <w:t>participation of the person concerned to have an active role and voice in proceedings; and</w:t>
      </w:r>
    </w:p>
    <w:p w14:paraId="702ECF1A" w14:textId="77777777" w:rsidR="00766C05" w:rsidRDefault="00766C05" w:rsidP="00766C05">
      <w:pPr>
        <w:pStyle w:val="ListParagraph"/>
        <w:numPr>
          <w:ilvl w:val="0"/>
          <w:numId w:val="17"/>
        </w:numPr>
        <w:jc w:val="both"/>
      </w:pPr>
      <w:r>
        <w:t>those who have multiple disabilities;</w:t>
      </w:r>
    </w:p>
    <w:p w14:paraId="4ECC1846" w14:textId="77777777" w:rsidR="00766C05" w:rsidRDefault="00766C05" w:rsidP="00766C05">
      <w:pPr>
        <w:pStyle w:val="ListParagraph"/>
        <w:numPr>
          <w:ilvl w:val="0"/>
          <w:numId w:val="17"/>
        </w:numPr>
        <w:jc w:val="both"/>
      </w:pPr>
      <w:r>
        <w:t>young persons;</w:t>
      </w:r>
    </w:p>
    <w:p w14:paraId="06CC0AC7" w14:textId="77777777" w:rsidR="00766C05" w:rsidRDefault="00766C05" w:rsidP="00766C05">
      <w:pPr>
        <w:pStyle w:val="ListParagraph"/>
        <w:numPr>
          <w:ilvl w:val="0"/>
          <w:numId w:val="17"/>
        </w:numPr>
        <w:jc w:val="both"/>
      </w:pPr>
      <w:r>
        <w:t>those who would have difficulty communicating or participating without legal representation; and</w:t>
      </w:r>
    </w:p>
    <w:p w14:paraId="5CC6237F" w14:textId="77777777" w:rsidR="00766C05" w:rsidRDefault="00766C05" w:rsidP="00766C05">
      <w:pPr>
        <w:pStyle w:val="ListParagraph"/>
        <w:numPr>
          <w:ilvl w:val="0"/>
          <w:numId w:val="17"/>
        </w:numPr>
        <w:jc w:val="both"/>
      </w:pPr>
      <w:r>
        <w:t xml:space="preserve">other access to justice concerns including risks to the right to a fair hearing. </w:t>
      </w:r>
    </w:p>
    <w:p w14:paraId="384CA99C" w14:textId="61AC5056" w:rsidR="00766C05" w:rsidRDefault="00766C05" w:rsidP="00766C05">
      <w:pPr>
        <w:jc w:val="both"/>
      </w:pPr>
      <w:r>
        <w:t>The objective legal merit of an application by an inpatient to challenge their treatment order is only one consideration in our decision whether we can represent them before the MHT. As we appreciate the importance of people having a voice in proceedings that intimately impact their lives as well as the need to support their active participation, we allocate resources in accordance with these principles. This does mean</w:t>
      </w:r>
      <w:r w:rsidR="00586766">
        <w:t>,</w:t>
      </w:r>
      <w:r>
        <w:t xml:space="preserve"> however</w:t>
      </w:r>
      <w:r w:rsidR="00586766">
        <w:t>,</w:t>
      </w:r>
      <w:r>
        <w:t xml:space="preserve"> that we cannot assist other sub-groups of clients before the MHT who could also benefit from legal representation, including those subject to </w:t>
      </w:r>
      <w:r w:rsidR="00586766">
        <w:t>CTOs</w:t>
      </w:r>
      <w:r>
        <w:t>.</w:t>
      </w:r>
    </w:p>
    <w:p w14:paraId="7013A3C7" w14:textId="77777777" w:rsidR="00766C05" w:rsidRPr="00EC4B9A" w:rsidRDefault="00766C05" w:rsidP="00EC4B9A">
      <w:pPr>
        <w:pStyle w:val="Heading9"/>
        <w:rPr>
          <w:i/>
          <w:lang w:eastAsia="en-AU"/>
        </w:rPr>
      </w:pPr>
      <w:r w:rsidRPr="00EC4B9A">
        <w:rPr>
          <w:i/>
          <w:lang w:eastAsia="en-AU"/>
        </w:rPr>
        <w:t>Issues at the MHT</w:t>
      </w:r>
      <w:r w:rsidR="00C245A1" w:rsidRPr="00EC4B9A">
        <w:rPr>
          <w:i/>
          <w:lang w:eastAsia="en-AU"/>
        </w:rPr>
        <w:t xml:space="preserve"> that impact on legal representation</w:t>
      </w:r>
    </w:p>
    <w:p w14:paraId="3C7F0EE4" w14:textId="77777777" w:rsidR="00766C05" w:rsidRDefault="00C46025" w:rsidP="00766C05">
      <w:pPr>
        <w:jc w:val="both"/>
      </w:pPr>
      <w:r>
        <w:t xml:space="preserve">Following the enactment of the </w:t>
      </w:r>
      <w:r w:rsidR="00766C05">
        <w:t>Mental Health Act, the number of hearings increased significantly.</w:t>
      </w:r>
    </w:p>
    <w:p w14:paraId="716B1592" w14:textId="18382211" w:rsidR="00766C05" w:rsidRDefault="00766C05" w:rsidP="00766C05">
      <w:pPr>
        <w:jc w:val="both"/>
      </w:pPr>
      <w:r>
        <w:t>Scheduling concerns are a particular issue for ECT matters</w:t>
      </w:r>
      <w:r w:rsidR="00586766">
        <w:t xml:space="preserve">.  These matters are </w:t>
      </w:r>
      <w:r>
        <w:t>frequently scheduled on an ad-hoc basis. Between January – March 2016, 20% of ECT applications were heard the same day</w:t>
      </w:r>
      <w:r w:rsidR="00C46025">
        <w:t xml:space="preserve"> the application was made</w:t>
      </w:r>
      <w:r>
        <w:t>, 2</w:t>
      </w:r>
      <w:r w:rsidR="00F37A1E">
        <w:t>5% within a day and 22% within two</w:t>
      </w:r>
      <w:r>
        <w:t xml:space="preserve"> days. </w:t>
      </w:r>
      <w:r w:rsidR="00586766">
        <w:t xml:space="preserve">In the context of limited legal services, the way ECT applications are currently scheduled present </w:t>
      </w:r>
      <w:r>
        <w:t>extreme challeng</w:t>
      </w:r>
      <w:r w:rsidR="00586766">
        <w:t>es</w:t>
      </w:r>
      <w:r>
        <w:t xml:space="preserve"> to arrang</w:t>
      </w:r>
      <w:r w:rsidR="00586766">
        <w:t xml:space="preserve">ing </w:t>
      </w:r>
      <w:r>
        <w:t xml:space="preserve">legal representation </w:t>
      </w:r>
      <w:r w:rsidR="00586766">
        <w:t xml:space="preserve">for a person, </w:t>
      </w:r>
      <w:r>
        <w:t xml:space="preserve">despite the significant rights </w:t>
      </w:r>
      <w:r w:rsidR="00C46025">
        <w:t>at stake</w:t>
      </w:r>
      <w:r>
        <w:t>.</w:t>
      </w:r>
    </w:p>
    <w:p w14:paraId="34276C97" w14:textId="77777777" w:rsidR="00766C05" w:rsidRPr="00B97009" w:rsidRDefault="00766C05" w:rsidP="00EC4B9A">
      <w:pPr>
        <w:pStyle w:val="Heading3"/>
      </w:pPr>
      <w:bookmarkStart w:id="7" w:name="_Toc482020688"/>
      <w:r>
        <w:t>Independent Mental Health Advocacy</w:t>
      </w:r>
      <w:bookmarkEnd w:id="7"/>
    </w:p>
    <w:p w14:paraId="677D9BB8" w14:textId="5F82A107" w:rsidR="00546505" w:rsidRPr="00C96D88" w:rsidRDefault="00586766" w:rsidP="00EC4B9A">
      <w:pPr>
        <w:jc w:val="both"/>
      </w:pPr>
      <w:r w:rsidRPr="00C96D88">
        <w:t xml:space="preserve">In </w:t>
      </w:r>
      <w:r w:rsidR="00546505" w:rsidRPr="00C96D88">
        <w:t>August 2015</w:t>
      </w:r>
      <w:r w:rsidRPr="00C96D88">
        <w:t>,</w:t>
      </w:r>
      <w:r w:rsidR="00546505" w:rsidRPr="00C96D88">
        <w:t xml:space="preserve"> VLA commenced delivering a state-wide non-legal advocacy program, IMHA</w:t>
      </w:r>
      <w:r w:rsidR="009D4E64">
        <w:t>.</w:t>
      </w:r>
      <w:r w:rsidR="00A9772D" w:rsidRPr="008447DD">
        <w:rPr>
          <w:sz w:val="18"/>
          <w:szCs w:val="18"/>
          <w:vertAlign w:val="superscript"/>
        </w:rPr>
        <w:footnoteReference w:id="14"/>
      </w:r>
      <w:r w:rsidR="008447DD">
        <w:rPr>
          <w:sz w:val="18"/>
          <w:szCs w:val="18"/>
        </w:rPr>
        <w:t xml:space="preserve"> </w:t>
      </w:r>
      <w:r w:rsidR="00546505" w:rsidRPr="00C96D88">
        <w:t xml:space="preserve">IMHA team has a vision of promoting and supporting the human rights of people experiencing compulsory treatment in mental health care. IMHA was designed in consultation with people with lived experience of mental health issues and the mental health system and has an advisory group of people who have </w:t>
      </w:r>
      <w:r w:rsidR="00546505" w:rsidRPr="00C96D88">
        <w:lastRenderedPageBreak/>
        <w:t>lived experience of mental health issues. IMHA works with people who are on inpatient or community-based compulsory treatment orders</w:t>
      </w:r>
      <w:r w:rsidR="00A9772D" w:rsidRPr="008447DD">
        <w:rPr>
          <w:vertAlign w:val="superscript"/>
        </w:rPr>
        <w:footnoteReference w:id="15"/>
      </w:r>
      <w:r w:rsidR="008447DD">
        <w:rPr>
          <w:sz w:val="18"/>
          <w:szCs w:val="18"/>
        </w:rPr>
        <w:t>,</w:t>
      </w:r>
      <w:r w:rsidR="00546505" w:rsidRPr="00C96D88">
        <w:t xml:space="preserve"> as well as those on forensic</w:t>
      </w:r>
      <w:r w:rsidR="00A9772D" w:rsidRPr="008447DD">
        <w:rPr>
          <w:sz w:val="18"/>
          <w:szCs w:val="18"/>
          <w:vertAlign w:val="superscript"/>
        </w:rPr>
        <w:footnoteReference w:id="16"/>
      </w:r>
      <w:r w:rsidR="00546505" w:rsidRPr="008447DD">
        <w:rPr>
          <w:sz w:val="18"/>
          <w:szCs w:val="18"/>
        </w:rPr>
        <w:t xml:space="preserve"> </w:t>
      </w:r>
      <w:r w:rsidR="00546505" w:rsidRPr="00C96D88">
        <w:t>or security orders</w:t>
      </w:r>
      <w:r w:rsidR="000A4623">
        <w:t>.</w:t>
      </w:r>
      <w:r w:rsidR="00A9772D" w:rsidRPr="008447DD">
        <w:rPr>
          <w:sz w:val="18"/>
          <w:szCs w:val="18"/>
          <w:vertAlign w:val="superscript"/>
        </w:rPr>
        <w:footnoteReference w:id="17"/>
      </w:r>
      <w:r w:rsidR="00546505" w:rsidRPr="008447DD">
        <w:rPr>
          <w:sz w:val="18"/>
          <w:szCs w:val="18"/>
        </w:rPr>
        <w:t xml:space="preserve"> </w:t>
      </w:r>
    </w:p>
    <w:p w14:paraId="58CBCAE4" w14:textId="77777777" w:rsidR="00A9772D" w:rsidRDefault="00546505" w:rsidP="00766C05">
      <w:pPr>
        <w:jc w:val="both"/>
      </w:pPr>
      <w:r w:rsidRPr="00546505">
        <w:t xml:space="preserve">IMHA is staffed by a team of 17 </w:t>
      </w:r>
      <w:r w:rsidR="00A9772D">
        <w:t xml:space="preserve">workers, </w:t>
      </w:r>
      <w:r w:rsidRPr="00546505">
        <w:t>including advocates, a senior consumer consultant and manager</w:t>
      </w:r>
      <w:r w:rsidR="00A9772D">
        <w:t xml:space="preserve">.  The </w:t>
      </w:r>
      <w:r w:rsidRPr="00546505">
        <w:t xml:space="preserve">service works with consumers, support people, mental health services and the mental health system to embed supported decision making and recovery-orientated service delivery. </w:t>
      </w:r>
    </w:p>
    <w:p w14:paraId="1D337FFF" w14:textId="77777777" w:rsidR="00A9772D" w:rsidRDefault="00546505" w:rsidP="00766C05">
      <w:pPr>
        <w:jc w:val="both"/>
      </w:pPr>
      <w:r w:rsidRPr="00546505">
        <w:t>Advocates engage in representational (or instructed) advocacy, and by taking their instructions from consumers</w:t>
      </w:r>
      <w:r w:rsidR="00A9772D">
        <w:t>.  This approach is intended to</w:t>
      </w:r>
      <w:r w:rsidRPr="00546505">
        <w:t xml:space="preserve"> ensure that people are supported to exercise their rights, speak for themselves and have someone ‘on their side’ who can represent their views, preferences and concerns to service providers and other relevant stakeholders. Ultimately, IMHA always aims to support people to become empowered with self-advocacy skills so that they can advocate for themselves in the future. </w:t>
      </w:r>
    </w:p>
    <w:p w14:paraId="5BC21414" w14:textId="77777777" w:rsidR="00A9772D" w:rsidRDefault="00546505" w:rsidP="00766C05">
      <w:pPr>
        <w:jc w:val="both"/>
      </w:pPr>
      <w:r w:rsidRPr="00546505">
        <w:t xml:space="preserve">Advocates also provide people with information about their rights and the mental health system and make referrals to legal, health and social welfare services. In support of access to justice by people receiving compulsory mental health treatment, advocates provide people with linkage to VLA’s MHDL program and as well as coaching for people to self-advocate at mental health tribunal hearings. </w:t>
      </w:r>
    </w:p>
    <w:p w14:paraId="3F89372E" w14:textId="77777777" w:rsidR="00766C05" w:rsidRDefault="00766C05" w:rsidP="00766C05">
      <w:pPr>
        <w:jc w:val="both"/>
      </w:pPr>
      <w:r>
        <w:t xml:space="preserve">With the creation of IMHA, the close </w:t>
      </w:r>
      <w:r w:rsidR="00C46025">
        <w:t xml:space="preserve">collaboration </w:t>
      </w:r>
      <w:r>
        <w:t>between advocates and lawyers allows VLA to provide holistic client-centred services so MHDL can assist clients to overcome barriers to participation, including understanding legal information and communication with lawyers</w:t>
      </w:r>
      <w:r w:rsidR="008447DD">
        <w:t xml:space="preserve"> </w:t>
      </w:r>
      <w:r w:rsidRPr="008447DD">
        <w:rPr>
          <w:sz w:val="18"/>
          <w:szCs w:val="18"/>
          <w:vertAlign w:val="superscript"/>
        </w:rPr>
        <w:footnoteReference w:id="18"/>
      </w:r>
      <w:r w:rsidR="008447DD">
        <w:t>.</w:t>
      </w:r>
      <w:r w:rsidRPr="008447DD">
        <w:rPr>
          <w:sz w:val="18"/>
          <w:szCs w:val="18"/>
          <w:vertAlign w:val="superscript"/>
        </w:rPr>
        <w:t xml:space="preserve"> </w:t>
      </w:r>
    </w:p>
    <w:p w14:paraId="0E16B97A" w14:textId="77777777" w:rsidR="00BE3D27" w:rsidRDefault="00BE3D27" w:rsidP="00BE3D27">
      <w:pPr>
        <w:jc w:val="both"/>
      </w:pPr>
      <w:r>
        <w:t>In recognition of the implications for access to justice and reflec</w:t>
      </w:r>
      <w:r w:rsidR="00EF3A39">
        <w:t>ting our practice experience in</w:t>
      </w:r>
      <w:r>
        <w:t xml:space="preserve"> holistic service delivery, we comment </w:t>
      </w:r>
      <w:r w:rsidR="00A9772D">
        <w:t xml:space="preserve">below </w:t>
      </w:r>
      <w:r>
        <w:t xml:space="preserve">on how the requirement to provide procedural accommodations and supports under Art 13 necessarily includes access to legal assistance and other supports. </w:t>
      </w:r>
    </w:p>
    <w:p w14:paraId="18D64807" w14:textId="77777777" w:rsidR="00A9772D" w:rsidRPr="00EC4B9A" w:rsidRDefault="00A9772D">
      <w:pPr>
        <w:spacing w:after="0" w:line="240" w:lineRule="auto"/>
      </w:pPr>
      <w:r>
        <w:br w:type="page"/>
      </w:r>
    </w:p>
    <w:p w14:paraId="6F95EBB0" w14:textId="77777777" w:rsidR="00575E43" w:rsidRDefault="00766C05" w:rsidP="00EC4B9A">
      <w:pPr>
        <w:pStyle w:val="Heading1"/>
      </w:pPr>
      <w:bookmarkStart w:id="8" w:name="_Toc482020689"/>
      <w:r>
        <w:lastRenderedPageBreak/>
        <w:t xml:space="preserve">Art 13 and </w:t>
      </w:r>
      <w:r w:rsidR="00575E43">
        <w:t>Accessible Legal Assistance</w:t>
      </w:r>
      <w:bookmarkEnd w:id="8"/>
    </w:p>
    <w:p w14:paraId="657FB326" w14:textId="77777777" w:rsidR="00EA21F4" w:rsidRDefault="00B10556" w:rsidP="00041348">
      <w:pPr>
        <w:jc w:val="both"/>
        <w:rPr>
          <w:lang w:eastAsia="en-AU"/>
        </w:rPr>
      </w:pPr>
      <w:r>
        <w:rPr>
          <w:lang w:eastAsia="en-AU"/>
        </w:rPr>
        <w:t>Access to legal remedies and the opportunity to respond to legal interventions</w:t>
      </w:r>
      <w:r w:rsidR="00E708F8">
        <w:rPr>
          <w:lang w:eastAsia="en-AU"/>
        </w:rPr>
        <w:t xml:space="preserve"> proportional to the rights infringed</w:t>
      </w:r>
      <w:r>
        <w:rPr>
          <w:lang w:eastAsia="en-AU"/>
        </w:rPr>
        <w:t xml:space="preserve"> is an essential element of access to justice for persons with disabilities</w:t>
      </w:r>
      <w:r w:rsidR="00E708F8">
        <w:rPr>
          <w:lang w:eastAsia="en-AU"/>
        </w:rPr>
        <w:t xml:space="preserve">. </w:t>
      </w:r>
      <w:r w:rsidR="00EA21F4">
        <w:rPr>
          <w:lang w:eastAsia="en-AU"/>
        </w:rPr>
        <w:t>Legal systems are complex and difficult to navigate for the uninitiated</w:t>
      </w:r>
      <w:r w:rsidR="00C46025">
        <w:rPr>
          <w:lang w:eastAsia="en-AU"/>
        </w:rPr>
        <w:t>.</w:t>
      </w:r>
      <w:r w:rsidR="00EA21F4">
        <w:rPr>
          <w:lang w:eastAsia="en-AU"/>
        </w:rPr>
        <w:t xml:space="preserve"> </w:t>
      </w:r>
      <w:r w:rsidR="00C46025">
        <w:rPr>
          <w:lang w:eastAsia="en-AU"/>
        </w:rPr>
        <w:t>P</w:t>
      </w:r>
      <w:r w:rsidR="00EA21F4">
        <w:rPr>
          <w:lang w:eastAsia="en-AU"/>
        </w:rPr>
        <w:t>ersons with disabilities face multiple barriers in realising access to justice. This is why access to justice for persons with disabilities also necessitates access to supports and legal representation.</w:t>
      </w:r>
    </w:p>
    <w:p w14:paraId="6F08AE84" w14:textId="77777777" w:rsidR="00041348" w:rsidRDefault="00EA21F4" w:rsidP="00041348">
      <w:pPr>
        <w:jc w:val="both"/>
        <w:rPr>
          <w:lang w:eastAsia="en-AU"/>
        </w:rPr>
      </w:pPr>
      <w:r>
        <w:rPr>
          <w:lang w:eastAsia="en-AU"/>
        </w:rPr>
        <w:t>The relationship between access to legal representation and access to justice</w:t>
      </w:r>
      <w:r w:rsidR="00A00CF9">
        <w:rPr>
          <w:lang w:eastAsia="en-AU"/>
        </w:rPr>
        <w:t xml:space="preserve"> in the CRPD</w:t>
      </w:r>
      <w:r>
        <w:rPr>
          <w:lang w:eastAsia="en-AU"/>
        </w:rPr>
        <w:t xml:space="preserve"> </w:t>
      </w:r>
      <w:r w:rsidR="00A00CF9">
        <w:rPr>
          <w:lang w:eastAsia="en-AU"/>
        </w:rPr>
        <w:t>is well established. I</w:t>
      </w:r>
      <w:r>
        <w:rPr>
          <w:lang w:eastAsia="en-AU"/>
        </w:rPr>
        <w:t xml:space="preserve">n the first General Comment </w:t>
      </w:r>
      <w:r w:rsidR="00A00CF9">
        <w:rPr>
          <w:lang w:eastAsia="en-AU"/>
        </w:rPr>
        <w:t>on the CRPD,</w:t>
      </w:r>
      <w:r>
        <w:rPr>
          <w:lang w:eastAsia="en-AU"/>
        </w:rPr>
        <w:t xml:space="preserve"> the Committee on the Rights of Persons with Disabilities (</w:t>
      </w:r>
      <w:r w:rsidRPr="00EA21F4">
        <w:rPr>
          <w:b/>
          <w:lang w:eastAsia="en-AU"/>
        </w:rPr>
        <w:t>the Committee</w:t>
      </w:r>
      <w:r>
        <w:rPr>
          <w:lang w:eastAsia="en-AU"/>
        </w:rPr>
        <w:t>)</w:t>
      </w:r>
      <w:r w:rsidR="00A00CF9">
        <w:rPr>
          <w:lang w:eastAsia="en-AU"/>
        </w:rPr>
        <w:t xml:space="preserve"> </w:t>
      </w:r>
      <w:r>
        <w:rPr>
          <w:lang w:eastAsia="en-AU"/>
        </w:rPr>
        <w:t>stated that</w:t>
      </w:r>
      <w:r w:rsidR="00A00CF9">
        <w:rPr>
          <w:lang w:eastAsia="en-AU"/>
        </w:rPr>
        <w:t xml:space="preserve"> ‘State parties must… ensure that persons with disabilities have access to legal representation on an equal basis with others’ including the opportunity to challenge interference with their legal capacity.</w:t>
      </w:r>
      <w:r w:rsidR="00A00CF9">
        <w:rPr>
          <w:rStyle w:val="FootnoteReference"/>
          <w:lang w:eastAsia="en-AU"/>
        </w:rPr>
        <w:footnoteReference w:id="19"/>
      </w:r>
      <w:r w:rsidR="00A55FDE">
        <w:rPr>
          <w:lang w:eastAsia="en-AU"/>
        </w:rPr>
        <w:t xml:space="preserve"> </w:t>
      </w:r>
    </w:p>
    <w:p w14:paraId="3B1BE581" w14:textId="77777777" w:rsidR="00575E43" w:rsidRPr="00EC4B9A" w:rsidRDefault="00575E43" w:rsidP="00EC4B9A">
      <w:pPr>
        <w:jc w:val="both"/>
        <w:rPr>
          <w:b/>
          <w:lang w:eastAsia="en-AU"/>
        </w:rPr>
      </w:pPr>
      <w:r w:rsidRPr="00EC4B9A">
        <w:rPr>
          <w:b/>
          <w:lang w:eastAsia="en-AU"/>
        </w:rPr>
        <w:t>Access to Justice and related rights</w:t>
      </w:r>
    </w:p>
    <w:p w14:paraId="384060E7" w14:textId="77777777" w:rsidR="00575E43" w:rsidRDefault="00575E43" w:rsidP="00575E43">
      <w:pPr>
        <w:jc w:val="both"/>
        <w:rPr>
          <w:lang w:eastAsia="en-AU"/>
        </w:rPr>
      </w:pPr>
      <w:r>
        <w:rPr>
          <w:lang w:eastAsia="en-AU"/>
        </w:rPr>
        <w:t>As a ‘threshold right’, access to justice is fundamental for participation and inclusion in society. This is because it provides the mechanism through which a person may claim or protect other rights or interests. Persons with disability disproportionately experience rights deprivations compared to those without because their access to justice is more frequently socially, financially, environmentally and institutionally blocked.</w:t>
      </w:r>
    </w:p>
    <w:p w14:paraId="18D24BFF" w14:textId="77777777" w:rsidR="00575E43" w:rsidRDefault="00575E43" w:rsidP="00575E43">
      <w:pPr>
        <w:jc w:val="both"/>
        <w:rPr>
          <w:lang w:eastAsia="en-AU"/>
        </w:rPr>
      </w:pPr>
      <w:r>
        <w:rPr>
          <w:lang w:eastAsia="en-AU"/>
        </w:rPr>
        <w:t>Accordingly, access to justice, as framed in Art 13 of the CRPD,</w:t>
      </w:r>
      <w:r w:rsidR="00F94442">
        <w:rPr>
          <w:lang w:eastAsia="en-AU"/>
        </w:rPr>
        <w:t xml:space="preserve"> recognises the universal, </w:t>
      </w:r>
      <w:r w:rsidR="00245D62" w:rsidRPr="00245D62">
        <w:rPr>
          <w:lang w:eastAsia="en-AU"/>
        </w:rPr>
        <w:t>inalienable</w:t>
      </w:r>
      <w:r w:rsidR="00245D62">
        <w:rPr>
          <w:lang w:eastAsia="en-AU"/>
        </w:rPr>
        <w:t>, indivisible,</w:t>
      </w:r>
      <w:r w:rsidR="00245D62" w:rsidRPr="00245D62">
        <w:rPr>
          <w:lang w:eastAsia="en-AU"/>
        </w:rPr>
        <w:t xml:space="preserve"> interdependent and interrelated</w:t>
      </w:r>
      <w:r w:rsidR="00245D62">
        <w:rPr>
          <w:lang w:eastAsia="en-AU"/>
        </w:rPr>
        <w:t xml:space="preserve"> nature</w:t>
      </w:r>
      <w:r>
        <w:rPr>
          <w:lang w:eastAsia="en-AU"/>
        </w:rPr>
        <w:t xml:space="preserve"> </w:t>
      </w:r>
      <w:r w:rsidR="00245D62">
        <w:rPr>
          <w:lang w:eastAsia="en-AU"/>
        </w:rPr>
        <w:t xml:space="preserve">of human rights in accessing </w:t>
      </w:r>
      <w:r>
        <w:rPr>
          <w:lang w:eastAsia="en-AU"/>
        </w:rPr>
        <w:t>justice, including</w:t>
      </w:r>
      <w:r w:rsidR="00F94442">
        <w:rPr>
          <w:lang w:eastAsia="en-AU"/>
        </w:rPr>
        <w:t xml:space="preserve"> but not limited to</w:t>
      </w:r>
      <w:r>
        <w:rPr>
          <w:lang w:eastAsia="en-AU"/>
        </w:rPr>
        <w:t>:</w:t>
      </w:r>
    </w:p>
    <w:p w14:paraId="56BA3374" w14:textId="77777777" w:rsidR="007E1D43" w:rsidRDefault="00575E43" w:rsidP="002D0954">
      <w:pPr>
        <w:pStyle w:val="ListParagraph"/>
        <w:numPr>
          <w:ilvl w:val="0"/>
          <w:numId w:val="6"/>
        </w:numPr>
        <w:jc w:val="both"/>
        <w:rPr>
          <w:lang w:eastAsia="en-AU"/>
        </w:rPr>
      </w:pPr>
      <w:r>
        <w:rPr>
          <w:lang w:eastAsia="en-AU"/>
        </w:rPr>
        <w:t>The right to equal recognition before</w:t>
      </w:r>
      <w:r w:rsidR="007E1D43">
        <w:rPr>
          <w:lang w:eastAsia="en-AU"/>
        </w:rPr>
        <w:t xml:space="preserve"> and under</w:t>
      </w:r>
      <w:r>
        <w:rPr>
          <w:lang w:eastAsia="en-AU"/>
        </w:rPr>
        <w:t xml:space="preserve"> the law</w:t>
      </w:r>
      <w:r w:rsidR="00CB37C6">
        <w:rPr>
          <w:lang w:eastAsia="en-AU"/>
        </w:rPr>
        <w:t>,</w:t>
      </w:r>
      <w:r w:rsidR="007E1D43">
        <w:rPr>
          <w:lang w:eastAsia="en-AU"/>
        </w:rPr>
        <w:t xml:space="preserve"> including equal protection and benefit of the law</w:t>
      </w:r>
      <w:r w:rsidR="007E1D43">
        <w:rPr>
          <w:rStyle w:val="FootnoteReference"/>
          <w:lang w:eastAsia="en-AU"/>
        </w:rPr>
        <w:footnoteReference w:id="20"/>
      </w:r>
      <w:r w:rsidR="007E1D43">
        <w:rPr>
          <w:lang w:eastAsia="en-AU"/>
        </w:rPr>
        <w:t xml:space="preserve"> </w:t>
      </w:r>
    </w:p>
    <w:p w14:paraId="4054BD5C" w14:textId="77777777" w:rsidR="00575E43" w:rsidRDefault="007E1D43" w:rsidP="002D0954">
      <w:pPr>
        <w:pStyle w:val="ListParagraph"/>
        <w:numPr>
          <w:ilvl w:val="0"/>
          <w:numId w:val="6"/>
        </w:numPr>
        <w:jc w:val="both"/>
        <w:rPr>
          <w:lang w:eastAsia="en-AU"/>
        </w:rPr>
      </w:pPr>
      <w:r>
        <w:rPr>
          <w:lang w:eastAsia="en-AU"/>
        </w:rPr>
        <w:t xml:space="preserve">Recognition of </w:t>
      </w:r>
      <w:r w:rsidR="00A55FDE">
        <w:rPr>
          <w:lang w:eastAsia="en-AU"/>
        </w:rPr>
        <w:t>legal capacity</w:t>
      </w:r>
      <w:r w:rsidR="00575E43">
        <w:rPr>
          <w:rStyle w:val="FootnoteReference"/>
          <w:lang w:eastAsia="en-AU"/>
        </w:rPr>
        <w:footnoteReference w:id="21"/>
      </w:r>
    </w:p>
    <w:p w14:paraId="0DF1528F" w14:textId="77777777" w:rsidR="00CB37C6" w:rsidRDefault="007E1D43" w:rsidP="002D0954">
      <w:pPr>
        <w:pStyle w:val="ListParagraph"/>
        <w:numPr>
          <w:ilvl w:val="0"/>
          <w:numId w:val="6"/>
        </w:numPr>
        <w:jc w:val="both"/>
        <w:rPr>
          <w:lang w:eastAsia="en-AU"/>
        </w:rPr>
      </w:pPr>
      <w:r>
        <w:rPr>
          <w:lang w:eastAsia="en-AU"/>
        </w:rPr>
        <w:t xml:space="preserve">Recognition of </w:t>
      </w:r>
      <w:r w:rsidR="00CB37C6">
        <w:rPr>
          <w:lang w:eastAsia="en-AU"/>
        </w:rPr>
        <w:t xml:space="preserve">personal </w:t>
      </w:r>
      <w:r>
        <w:rPr>
          <w:lang w:eastAsia="en-AU"/>
        </w:rPr>
        <w:t>autonomy</w:t>
      </w:r>
      <w:r>
        <w:rPr>
          <w:rStyle w:val="FootnoteReference"/>
          <w:lang w:eastAsia="en-AU"/>
        </w:rPr>
        <w:footnoteReference w:id="22"/>
      </w:r>
      <w:r w:rsidR="00CB37C6">
        <w:rPr>
          <w:lang w:eastAsia="en-AU"/>
        </w:rPr>
        <w:t xml:space="preserve"> </w:t>
      </w:r>
    </w:p>
    <w:p w14:paraId="7DF8ED25" w14:textId="77777777" w:rsidR="00A55FDE" w:rsidRDefault="00CB37C6" w:rsidP="002D0954">
      <w:pPr>
        <w:pStyle w:val="ListParagraph"/>
        <w:numPr>
          <w:ilvl w:val="0"/>
          <w:numId w:val="6"/>
        </w:numPr>
        <w:jc w:val="both"/>
        <w:rPr>
          <w:lang w:eastAsia="en-AU"/>
        </w:rPr>
      </w:pPr>
      <w:r>
        <w:rPr>
          <w:lang w:eastAsia="en-AU"/>
        </w:rPr>
        <w:t>R</w:t>
      </w:r>
      <w:r w:rsidR="007E1D43">
        <w:rPr>
          <w:lang w:eastAsia="en-AU"/>
        </w:rPr>
        <w:t>espect for inherent dignity (including freedom to make one’s own choices and</w:t>
      </w:r>
      <w:r w:rsidR="007B5041">
        <w:rPr>
          <w:lang w:eastAsia="en-AU"/>
        </w:rPr>
        <w:t xml:space="preserve"> to be independent</w:t>
      </w:r>
      <w:r w:rsidR="007E1D43">
        <w:rPr>
          <w:lang w:eastAsia="en-AU"/>
        </w:rPr>
        <w:t>)</w:t>
      </w:r>
      <w:r w:rsidR="007E1D43">
        <w:rPr>
          <w:rStyle w:val="FootnoteReference"/>
          <w:lang w:eastAsia="en-AU"/>
        </w:rPr>
        <w:footnoteReference w:id="23"/>
      </w:r>
    </w:p>
    <w:p w14:paraId="51AEA34B" w14:textId="77777777" w:rsidR="004B7D81" w:rsidRDefault="004B7D81" w:rsidP="002D0954">
      <w:pPr>
        <w:pStyle w:val="ListParagraph"/>
        <w:numPr>
          <w:ilvl w:val="0"/>
          <w:numId w:val="6"/>
        </w:numPr>
        <w:jc w:val="both"/>
        <w:rPr>
          <w:lang w:eastAsia="en-AU"/>
        </w:rPr>
      </w:pPr>
      <w:r>
        <w:rPr>
          <w:lang w:eastAsia="en-AU"/>
        </w:rPr>
        <w:t>The right of children with disabilities to preserve their identities</w:t>
      </w:r>
      <w:r>
        <w:rPr>
          <w:rStyle w:val="FootnoteReference"/>
          <w:lang w:eastAsia="en-AU"/>
        </w:rPr>
        <w:footnoteReference w:id="24"/>
      </w:r>
    </w:p>
    <w:p w14:paraId="33BB6204" w14:textId="77777777" w:rsidR="00575E43" w:rsidRDefault="00575E43" w:rsidP="002D0954">
      <w:pPr>
        <w:pStyle w:val="ListParagraph"/>
        <w:numPr>
          <w:ilvl w:val="0"/>
          <w:numId w:val="6"/>
        </w:numPr>
        <w:jc w:val="both"/>
        <w:rPr>
          <w:lang w:eastAsia="en-AU"/>
        </w:rPr>
      </w:pPr>
      <w:r>
        <w:rPr>
          <w:lang w:eastAsia="en-AU"/>
        </w:rPr>
        <w:t xml:space="preserve">The right </w:t>
      </w:r>
      <w:r w:rsidR="00A55FDE">
        <w:rPr>
          <w:lang w:eastAsia="en-AU"/>
        </w:rPr>
        <w:t>to equality and non-discrimination.</w:t>
      </w:r>
      <w:r w:rsidR="003271C3">
        <w:rPr>
          <w:rStyle w:val="FootnoteReference"/>
          <w:lang w:eastAsia="en-AU"/>
        </w:rPr>
        <w:footnoteReference w:id="25"/>
      </w:r>
    </w:p>
    <w:p w14:paraId="36AC1144" w14:textId="77777777" w:rsidR="00163884" w:rsidRDefault="00575E43" w:rsidP="00575E43">
      <w:pPr>
        <w:jc w:val="both"/>
      </w:pPr>
      <w:r>
        <w:rPr>
          <w:lang w:eastAsia="en-AU"/>
        </w:rPr>
        <w:t xml:space="preserve">The above </w:t>
      </w:r>
      <w:r w:rsidR="00DB50F0">
        <w:rPr>
          <w:lang w:eastAsia="en-AU"/>
        </w:rPr>
        <w:t xml:space="preserve">rights </w:t>
      </w:r>
      <w:r w:rsidR="008342F7">
        <w:rPr>
          <w:lang w:eastAsia="en-AU"/>
        </w:rPr>
        <w:t>are</w:t>
      </w:r>
      <w:r w:rsidR="00DB50F0">
        <w:rPr>
          <w:lang w:eastAsia="en-AU"/>
        </w:rPr>
        <w:t xml:space="preserve"> arguably more</w:t>
      </w:r>
      <w:r>
        <w:rPr>
          <w:lang w:eastAsia="en-AU"/>
        </w:rPr>
        <w:t xml:space="preserve"> </w:t>
      </w:r>
      <w:r w:rsidR="00DB50F0">
        <w:rPr>
          <w:lang w:eastAsia="en-AU"/>
        </w:rPr>
        <w:t>important</w:t>
      </w:r>
      <w:r>
        <w:rPr>
          <w:lang w:eastAsia="en-AU"/>
        </w:rPr>
        <w:t xml:space="preserve"> in the disability and mental health context </w:t>
      </w:r>
      <w:r w:rsidR="00DB50F0">
        <w:rPr>
          <w:lang w:eastAsia="en-AU"/>
        </w:rPr>
        <w:t xml:space="preserve">as this group experiences medical and legal interventions to a greater extent than other people. </w:t>
      </w:r>
      <w:r w:rsidR="00163884">
        <w:t xml:space="preserve">As persons with disabilities experience disproportionate violations of their right to access justice it perpetuates and exacerbates their experience of exclusion, discrimination and violence. This means that persons with disabilities are frequently effectively denied the protection of the law that the legal system affords. </w:t>
      </w:r>
    </w:p>
    <w:p w14:paraId="021F2111" w14:textId="77777777" w:rsidR="00575E43" w:rsidRDefault="00DB50F0" w:rsidP="00575E43">
      <w:pPr>
        <w:jc w:val="both"/>
        <w:rPr>
          <w:lang w:eastAsia="en-AU"/>
        </w:rPr>
      </w:pPr>
      <w:r>
        <w:rPr>
          <w:lang w:eastAsia="en-AU"/>
        </w:rPr>
        <w:t>Recognition of persons with disabilities a</w:t>
      </w:r>
      <w:r w:rsidR="00501E4C">
        <w:rPr>
          <w:lang w:eastAsia="en-AU"/>
        </w:rPr>
        <w:t>s</w:t>
      </w:r>
      <w:r>
        <w:rPr>
          <w:lang w:eastAsia="en-AU"/>
        </w:rPr>
        <w:t xml:space="preserve"> equal</w:t>
      </w:r>
      <w:r w:rsidR="00501E4C">
        <w:rPr>
          <w:lang w:eastAsia="en-AU"/>
        </w:rPr>
        <w:t>, autonomous,</w:t>
      </w:r>
      <w:r>
        <w:rPr>
          <w:lang w:eastAsia="en-AU"/>
        </w:rPr>
        <w:t xml:space="preserve"> independent decision-makers and legal actors</w:t>
      </w:r>
      <w:r w:rsidR="00575E43">
        <w:rPr>
          <w:lang w:eastAsia="en-AU"/>
        </w:rPr>
        <w:t xml:space="preserve"> </w:t>
      </w:r>
      <w:r w:rsidR="008342F7">
        <w:rPr>
          <w:lang w:eastAsia="en-AU"/>
        </w:rPr>
        <w:t>empower</w:t>
      </w:r>
      <w:r>
        <w:rPr>
          <w:lang w:eastAsia="en-AU"/>
        </w:rPr>
        <w:t>s them to</w:t>
      </w:r>
      <w:r w:rsidR="008342F7">
        <w:rPr>
          <w:lang w:eastAsia="en-AU"/>
        </w:rPr>
        <w:t xml:space="preserve"> challenge </w:t>
      </w:r>
      <w:r w:rsidR="00575E43">
        <w:rPr>
          <w:lang w:eastAsia="en-AU"/>
        </w:rPr>
        <w:t>deprivations</w:t>
      </w:r>
      <w:r w:rsidR="00501E4C">
        <w:rPr>
          <w:lang w:eastAsia="en-AU"/>
        </w:rPr>
        <w:t xml:space="preserve"> </w:t>
      </w:r>
      <w:r w:rsidR="00575E43">
        <w:rPr>
          <w:lang w:eastAsia="en-AU"/>
        </w:rPr>
        <w:t>of the following:</w:t>
      </w:r>
    </w:p>
    <w:p w14:paraId="7F4447F6" w14:textId="77777777" w:rsidR="00F94442" w:rsidRDefault="00F94442" w:rsidP="002D0954">
      <w:pPr>
        <w:pStyle w:val="ListParagraph"/>
        <w:numPr>
          <w:ilvl w:val="0"/>
          <w:numId w:val="7"/>
        </w:numPr>
        <w:jc w:val="both"/>
        <w:rPr>
          <w:lang w:eastAsia="en-AU"/>
        </w:rPr>
      </w:pPr>
      <w:r>
        <w:rPr>
          <w:lang w:eastAsia="en-AU"/>
        </w:rPr>
        <w:t>The right to liberty and security of person</w:t>
      </w:r>
      <w:r w:rsidR="003806A1">
        <w:rPr>
          <w:rStyle w:val="FootnoteReference"/>
          <w:lang w:eastAsia="en-AU"/>
        </w:rPr>
        <w:footnoteReference w:id="26"/>
      </w:r>
    </w:p>
    <w:p w14:paraId="7989B0D0" w14:textId="77777777" w:rsidR="00F94442" w:rsidRDefault="00F94442" w:rsidP="002D0954">
      <w:pPr>
        <w:pStyle w:val="ListParagraph"/>
        <w:numPr>
          <w:ilvl w:val="0"/>
          <w:numId w:val="7"/>
        </w:numPr>
        <w:jc w:val="both"/>
        <w:rPr>
          <w:lang w:eastAsia="en-AU"/>
        </w:rPr>
      </w:pPr>
      <w:r>
        <w:rPr>
          <w:lang w:eastAsia="en-AU"/>
        </w:rPr>
        <w:lastRenderedPageBreak/>
        <w:t xml:space="preserve">Freedom from </w:t>
      </w:r>
      <w:r w:rsidR="00A55FDE">
        <w:rPr>
          <w:lang w:eastAsia="en-AU"/>
        </w:rPr>
        <w:t>torture or cruel, inhumane or degrading treatment or punishment</w:t>
      </w:r>
      <w:r w:rsidR="003806A1">
        <w:rPr>
          <w:rStyle w:val="FootnoteReference"/>
          <w:lang w:eastAsia="en-AU"/>
        </w:rPr>
        <w:footnoteReference w:id="27"/>
      </w:r>
    </w:p>
    <w:p w14:paraId="3251037D" w14:textId="77777777" w:rsidR="00A55FDE" w:rsidRDefault="00A55FDE" w:rsidP="002D0954">
      <w:pPr>
        <w:pStyle w:val="ListParagraph"/>
        <w:numPr>
          <w:ilvl w:val="0"/>
          <w:numId w:val="7"/>
        </w:numPr>
        <w:jc w:val="both"/>
        <w:rPr>
          <w:lang w:eastAsia="en-AU"/>
        </w:rPr>
      </w:pPr>
      <w:r>
        <w:rPr>
          <w:lang w:eastAsia="en-AU"/>
        </w:rPr>
        <w:t>Freedom from exploitation, violence and abuse</w:t>
      </w:r>
      <w:r w:rsidR="007E1D43">
        <w:rPr>
          <w:rStyle w:val="FootnoteReference"/>
          <w:lang w:eastAsia="en-AU"/>
        </w:rPr>
        <w:footnoteReference w:id="28"/>
      </w:r>
    </w:p>
    <w:p w14:paraId="68FFA9D9" w14:textId="77777777" w:rsidR="00A55FDE" w:rsidRDefault="00A55FDE" w:rsidP="002D0954">
      <w:pPr>
        <w:pStyle w:val="ListParagraph"/>
        <w:numPr>
          <w:ilvl w:val="0"/>
          <w:numId w:val="7"/>
        </w:numPr>
        <w:jc w:val="both"/>
        <w:rPr>
          <w:lang w:eastAsia="en-AU"/>
        </w:rPr>
      </w:pPr>
      <w:r>
        <w:rPr>
          <w:lang w:eastAsia="en-AU"/>
        </w:rPr>
        <w:t>Protection of the integrity of the person</w:t>
      </w:r>
      <w:r w:rsidR="003E3B95">
        <w:rPr>
          <w:lang w:eastAsia="en-AU"/>
        </w:rPr>
        <w:t xml:space="preserve"> (including issues of involuntary treatment)</w:t>
      </w:r>
      <w:r w:rsidR="007E1D43">
        <w:rPr>
          <w:rStyle w:val="FootnoteReference"/>
          <w:lang w:eastAsia="en-AU"/>
        </w:rPr>
        <w:footnoteReference w:id="29"/>
      </w:r>
    </w:p>
    <w:p w14:paraId="3323E910" w14:textId="77777777" w:rsidR="00A55FDE" w:rsidRDefault="00A9584E" w:rsidP="002D0954">
      <w:pPr>
        <w:pStyle w:val="ListParagraph"/>
        <w:numPr>
          <w:ilvl w:val="0"/>
          <w:numId w:val="7"/>
        </w:numPr>
        <w:jc w:val="both"/>
        <w:rPr>
          <w:lang w:eastAsia="en-AU"/>
        </w:rPr>
      </w:pPr>
      <w:r>
        <w:rPr>
          <w:lang w:eastAsia="en-AU"/>
        </w:rPr>
        <w:t>The right to l</w:t>
      </w:r>
      <w:r w:rsidR="00A55FDE">
        <w:rPr>
          <w:lang w:eastAsia="en-AU"/>
        </w:rPr>
        <w:t xml:space="preserve">iving independently </w:t>
      </w:r>
      <w:r w:rsidR="00141A80">
        <w:rPr>
          <w:lang w:eastAsia="en-AU"/>
        </w:rPr>
        <w:t xml:space="preserve">and being included </w:t>
      </w:r>
      <w:r w:rsidR="00A55FDE">
        <w:rPr>
          <w:lang w:eastAsia="en-AU"/>
        </w:rPr>
        <w:t>in the community</w:t>
      </w:r>
      <w:r w:rsidR="00501E4C">
        <w:rPr>
          <w:rStyle w:val="FootnoteReference"/>
          <w:lang w:eastAsia="en-AU"/>
        </w:rPr>
        <w:footnoteReference w:id="30"/>
      </w:r>
    </w:p>
    <w:p w14:paraId="03B0CEA0" w14:textId="4C70D31A" w:rsidR="00141A80" w:rsidRDefault="00141A80" w:rsidP="002D0954">
      <w:pPr>
        <w:pStyle w:val="ListParagraph"/>
        <w:numPr>
          <w:ilvl w:val="0"/>
          <w:numId w:val="7"/>
        </w:numPr>
        <w:jc w:val="both"/>
        <w:rPr>
          <w:lang w:eastAsia="en-AU"/>
        </w:rPr>
      </w:pPr>
      <w:r>
        <w:rPr>
          <w:lang w:eastAsia="en-AU"/>
        </w:rPr>
        <w:t>Respect for home and the famil</w:t>
      </w:r>
      <w:r w:rsidR="009D4E64">
        <w:rPr>
          <w:lang w:eastAsia="en-AU"/>
        </w:rPr>
        <w:t>y</w:t>
      </w:r>
      <w:r>
        <w:rPr>
          <w:rStyle w:val="FootnoteReference"/>
          <w:lang w:eastAsia="en-AU"/>
        </w:rPr>
        <w:footnoteReference w:id="31"/>
      </w:r>
    </w:p>
    <w:p w14:paraId="30F3925D" w14:textId="77777777" w:rsidR="00A55FDE" w:rsidRDefault="00A55FDE" w:rsidP="002D0954">
      <w:pPr>
        <w:pStyle w:val="ListParagraph"/>
        <w:numPr>
          <w:ilvl w:val="0"/>
          <w:numId w:val="7"/>
        </w:numPr>
        <w:jc w:val="both"/>
        <w:rPr>
          <w:lang w:eastAsia="en-AU"/>
        </w:rPr>
      </w:pPr>
      <w:r>
        <w:rPr>
          <w:lang w:eastAsia="en-AU"/>
        </w:rPr>
        <w:t>Respect for privacy</w:t>
      </w:r>
      <w:r w:rsidR="00501E4C">
        <w:rPr>
          <w:rStyle w:val="FootnoteReference"/>
          <w:lang w:eastAsia="en-AU"/>
        </w:rPr>
        <w:footnoteReference w:id="32"/>
      </w:r>
    </w:p>
    <w:p w14:paraId="0B42C325" w14:textId="77777777" w:rsidR="00575E43" w:rsidRDefault="00575E43" w:rsidP="002D0954">
      <w:pPr>
        <w:pStyle w:val="ListParagraph"/>
        <w:numPr>
          <w:ilvl w:val="0"/>
          <w:numId w:val="7"/>
        </w:numPr>
        <w:jc w:val="both"/>
        <w:rPr>
          <w:lang w:eastAsia="en-AU"/>
        </w:rPr>
      </w:pPr>
      <w:r>
        <w:rPr>
          <w:lang w:eastAsia="en-AU"/>
        </w:rPr>
        <w:t>The prohibition of discrimination on the basis of disability</w:t>
      </w:r>
      <w:r w:rsidR="0071134A">
        <w:rPr>
          <w:lang w:eastAsia="en-AU"/>
        </w:rPr>
        <w:t>, including indirect</w:t>
      </w:r>
      <w:r w:rsidR="0036062C">
        <w:rPr>
          <w:lang w:eastAsia="en-AU"/>
        </w:rPr>
        <w:t xml:space="preserve"> discrimination</w:t>
      </w:r>
      <w:r w:rsidR="00F94442">
        <w:rPr>
          <w:rStyle w:val="FootnoteReference"/>
          <w:lang w:eastAsia="en-AU"/>
        </w:rPr>
        <w:footnoteReference w:id="33"/>
      </w:r>
      <w:r w:rsidR="0071134A">
        <w:rPr>
          <w:lang w:eastAsia="en-AU"/>
        </w:rPr>
        <w:t xml:space="preserve"> </w:t>
      </w:r>
    </w:p>
    <w:p w14:paraId="1B450F40" w14:textId="77777777" w:rsidR="00575E43" w:rsidRDefault="00575E43" w:rsidP="002D0954">
      <w:pPr>
        <w:pStyle w:val="ListParagraph"/>
        <w:numPr>
          <w:ilvl w:val="0"/>
          <w:numId w:val="7"/>
        </w:numPr>
        <w:jc w:val="both"/>
        <w:rPr>
          <w:lang w:eastAsia="en-AU"/>
        </w:rPr>
      </w:pPr>
      <w:r>
        <w:rPr>
          <w:lang w:eastAsia="en-AU"/>
        </w:rPr>
        <w:t>Freedom from me</w:t>
      </w:r>
      <w:r w:rsidR="0071134A">
        <w:rPr>
          <w:lang w:eastAsia="en-AU"/>
        </w:rPr>
        <w:t>dical treatment without consent.</w:t>
      </w:r>
      <w:r w:rsidR="00F94442">
        <w:rPr>
          <w:rStyle w:val="FootnoteReference"/>
          <w:lang w:eastAsia="en-AU"/>
        </w:rPr>
        <w:footnoteReference w:id="34"/>
      </w:r>
    </w:p>
    <w:p w14:paraId="4366D58E" w14:textId="77777777" w:rsidR="00575E43" w:rsidRDefault="00A55FDE" w:rsidP="00A55FDE">
      <w:pPr>
        <w:jc w:val="both"/>
        <w:rPr>
          <w:lang w:eastAsia="en-AU"/>
        </w:rPr>
      </w:pPr>
      <w:r>
        <w:rPr>
          <w:lang w:eastAsia="en-AU"/>
        </w:rPr>
        <w:t xml:space="preserve">As access to justice obligations heighten </w:t>
      </w:r>
      <w:r w:rsidR="0036062C">
        <w:rPr>
          <w:lang w:eastAsia="en-AU"/>
        </w:rPr>
        <w:t>proportionate to the significance</w:t>
      </w:r>
      <w:r>
        <w:rPr>
          <w:lang w:eastAsia="en-AU"/>
        </w:rPr>
        <w:t xml:space="preserve"> of the rights infringed, in the disability and mental health context, access to legal representation is a vital safeguard in ensuring not only the </w:t>
      </w:r>
      <w:r w:rsidR="00A37533">
        <w:rPr>
          <w:lang w:eastAsia="en-AU"/>
        </w:rPr>
        <w:t xml:space="preserve">above </w:t>
      </w:r>
      <w:r>
        <w:rPr>
          <w:lang w:eastAsia="en-AU"/>
        </w:rPr>
        <w:t>rights are protected, but further that persons with disabilities are given a voice</w:t>
      </w:r>
      <w:r w:rsidR="002B5A59">
        <w:rPr>
          <w:lang w:eastAsia="en-AU"/>
        </w:rPr>
        <w:t xml:space="preserve"> in proceedings that intimately impact their lives.</w:t>
      </w:r>
    </w:p>
    <w:p w14:paraId="5B1B711D" w14:textId="77777777" w:rsidR="00A00CF9" w:rsidRPr="00EC4B9A" w:rsidRDefault="00575E43" w:rsidP="00EC4B9A">
      <w:pPr>
        <w:jc w:val="both"/>
        <w:rPr>
          <w:b/>
          <w:lang w:eastAsia="en-AU"/>
        </w:rPr>
      </w:pPr>
      <w:r w:rsidRPr="00EC4B9A">
        <w:rPr>
          <w:b/>
          <w:lang w:eastAsia="en-AU"/>
        </w:rPr>
        <w:t xml:space="preserve">Supports and Access to Justice </w:t>
      </w:r>
    </w:p>
    <w:p w14:paraId="46CF5F25" w14:textId="4D11781E" w:rsidR="00575E43" w:rsidRDefault="0045272B" w:rsidP="00575E43">
      <w:pPr>
        <w:jc w:val="both"/>
        <w:rPr>
          <w:lang w:eastAsia="en-AU"/>
        </w:rPr>
      </w:pPr>
      <w:r>
        <w:rPr>
          <w:lang w:eastAsia="en-AU"/>
        </w:rPr>
        <w:t>W</w:t>
      </w:r>
      <w:r w:rsidR="00575E43">
        <w:rPr>
          <w:lang w:eastAsia="en-AU"/>
        </w:rPr>
        <w:t xml:space="preserve">hile access to justice is often framed as only a civil right, Art 13 recognises that persons with disabilities require supports and accommodations </w:t>
      </w:r>
      <w:r>
        <w:rPr>
          <w:lang w:eastAsia="en-AU"/>
        </w:rPr>
        <w:t>to have access to justice on an equal basis with others</w:t>
      </w:r>
      <w:r w:rsidR="00A37533">
        <w:rPr>
          <w:lang w:eastAsia="en-AU"/>
        </w:rPr>
        <w:t xml:space="preserve">. Accordingly, it </w:t>
      </w:r>
      <w:r w:rsidR="00575E43">
        <w:rPr>
          <w:lang w:eastAsia="en-AU"/>
        </w:rPr>
        <w:t>provi</w:t>
      </w:r>
      <w:r w:rsidR="00380CE5">
        <w:rPr>
          <w:lang w:eastAsia="en-AU"/>
        </w:rPr>
        <w:t>des for an obligation on State p</w:t>
      </w:r>
      <w:r w:rsidR="00575E43">
        <w:rPr>
          <w:lang w:eastAsia="en-AU"/>
        </w:rPr>
        <w:t>arties to provide procedural accommodations.  The relationship between obligations to provide accommodations and supports is a general principle in disability human rights law because</w:t>
      </w:r>
      <w:r w:rsidR="00A37533">
        <w:rPr>
          <w:lang w:eastAsia="en-AU"/>
        </w:rPr>
        <w:t>,</w:t>
      </w:r>
      <w:r w:rsidR="00575E43">
        <w:rPr>
          <w:lang w:eastAsia="en-AU"/>
        </w:rPr>
        <w:t xml:space="preserve"> historically, persons with disability were excluded through not just direct discrimination, but also indirect discrimination. This is </w:t>
      </w:r>
      <w:r w:rsidR="001B18B5">
        <w:rPr>
          <w:lang w:eastAsia="en-AU"/>
        </w:rPr>
        <w:t>rooted in the failure to</w:t>
      </w:r>
      <w:r w:rsidR="00575E43">
        <w:rPr>
          <w:lang w:eastAsia="en-AU"/>
        </w:rPr>
        <w:t xml:space="preserve"> recognise that disability itself </w:t>
      </w:r>
      <w:r w:rsidR="001B18B5">
        <w:rPr>
          <w:lang w:eastAsia="en-AU"/>
        </w:rPr>
        <w:t>arises</w:t>
      </w:r>
      <w:r w:rsidR="00575E43">
        <w:rPr>
          <w:lang w:eastAsia="en-AU"/>
        </w:rPr>
        <w:t xml:space="preserve"> from a person with impairment</w:t>
      </w:r>
      <w:r w:rsidR="001B18B5">
        <w:rPr>
          <w:lang w:eastAsia="en-AU"/>
        </w:rPr>
        <w:t>s</w:t>
      </w:r>
      <w:r w:rsidR="00575E43">
        <w:rPr>
          <w:lang w:eastAsia="en-AU"/>
        </w:rPr>
        <w:t xml:space="preserve"> interacting with external attitudinal and environmental barriers that perpetuate and exacerbate exclusion.</w:t>
      </w:r>
      <w:r w:rsidR="001B18B5">
        <w:rPr>
          <w:rStyle w:val="FootnoteReference"/>
          <w:lang w:eastAsia="en-AU"/>
        </w:rPr>
        <w:footnoteReference w:id="35"/>
      </w:r>
    </w:p>
    <w:p w14:paraId="1C81E0B7" w14:textId="77777777" w:rsidR="00972F7E" w:rsidRDefault="00575E43" w:rsidP="00575E43">
      <w:pPr>
        <w:jc w:val="both"/>
      </w:pPr>
      <w:r>
        <w:t xml:space="preserve">These procedural accommodations are not limited by the concept of disproportionate or undue burden and so </w:t>
      </w:r>
      <w:r w:rsidR="00972F7E">
        <w:t>apply to</w:t>
      </w:r>
      <w:r>
        <w:t xml:space="preserve"> all persons with disabilities, even those who require intensive supports.</w:t>
      </w:r>
      <w:r>
        <w:rPr>
          <w:rStyle w:val="FootnoteReference"/>
        </w:rPr>
        <w:footnoteReference w:id="36"/>
      </w:r>
      <w:r>
        <w:t xml:space="preserve"> This differentiation between the idea of reasonable accommodations is vital, because the right of access to justice acts as the guarantor for the effective enjoyment and exercise of all rights</w:t>
      </w:r>
      <w:r w:rsidR="00972F7E">
        <w:t xml:space="preserve">. </w:t>
      </w:r>
    </w:p>
    <w:p w14:paraId="3D9690E4" w14:textId="77777777" w:rsidR="005C4520" w:rsidRDefault="00575E43" w:rsidP="005C4520">
      <w:pPr>
        <w:jc w:val="both"/>
      </w:pPr>
      <w:r>
        <w:t xml:space="preserve">Failure to provide a procedural accommodation therefore </w:t>
      </w:r>
      <w:r w:rsidR="00972F7E">
        <w:t>has been recognised to constitute</w:t>
      </w:r>
      <w:r>
        <w:t xml:space="preserve"> a form of discrimination on the basis of disability in connection with the right of access to justice.</w:t>
      </w:r>
      <w:r>
        <w:rPr>
          <w:rStyle w:val="FootnoteReference"/>
        </w:rPr>
        <w:footnoteReference w:id="37"/>
      </w:r>
      <w:r w:rsidR="0043413B">
        <w:t xml:space="preserve"> A recent </w:t>
      </w:r>
      <w:r w:rsidR="00A37533">
        <w:t xml:space="preserve">view </w:t>
      </w:r>
      <w:r w:rsidR="0043413B">
        <w:t>by the Committee in the case of Marlon Noble found that failure to support or accommodate someone in the exercise of their legal capacity and to analyse which measures could be adopted to do so constituted a breach of Art 5(a) and (2) of the CRPD.</w:t>
      </w:r>
      <w:r w:rsidR="0043413B">
        <w:rPr>
          <w:rStyle w:val="FootnoteReference"/>
        </w:rPr>
        <w:footnoteReference w:id="38"/>
      </w:r>
      <w:r w:rsidR="005C4520">
        <w:t xml:space="preserve"> </w:t>
      </w:r>
    </w:p>
    <w:p w14:paraId="54414E72" w14:textId="77777777" w:rsidR="00575E43" w:rsidRPr="00EC4B9A" w:rsidRDefault="00387DE3" w:rsidP="00EC4B9A">
      <w:pPr>
        <w:jc w:val="both"/>
        <w:rPr>
          <w:b/>
          <w:lang w:eastAsia="en-AU"/>
        </w:rPr>
      </w:pPr>
      <w:r w:rsidRPr="00EC4B9A">
        <w:rPr>
          <w:b/>
          <w:lang w:eastAsia="en-AU"/>
        </w:rPr>
        <w:lastRenderedPageBreak/>
        <w:t>S</w:t>
      </w:r>
      <w:r w:rsidR="00575E43" w:rsidRPr="00EC4B9A">
        <w:rPr>
          <w:b/>
          <w:lang w:eastAsia="en-AU"/>
        </w:rPr>
        <w:t>pecialist</w:t>
      </w:r>
      <w:r w:rsidR="007B19E1" w:rsidRPr="00EC4B9A">
        <w:rPr>
          <w:b/>
          <w:lang w:eastAsia="en-AU"/>
        </w:rPr>
        <w:t>, intersectional</w:t>
      </w:r>
      <w:r w:rsidR="00575E43" w:rsidRPr="00EC4B9A">
        <w:rPr>
          <w:b/>
          <w:lang w:eastAsia="en-AU"/>
        </w:rPr>
        <w:t xml:space="preserve"> and holistic legal assistance</w:t>
      </w:r>
      <w:r w:rsidRPr="00EC4B9A">
        <w:rPr>
          <w:b/>
          <w:lang w:eastAsia="en-AU"/>
        </w:rPr>
        <w:t xml:space="preserve"> and support</w:t>
      </w:r>
      <w:r w:rsidR="0074272B" w:rsidRPr="00EC4B9A">
        <w:rPr>
          <w:b/>
          <w:lang w:eastAsia="en-AU"/>
        </w:rPr>
        <w:t xml:space="preserve"> delivery</w:t>
      </w:r>
    </w:p>
    <w:p w14:paraId="686B6086" w14:textId="77777777" w:rsidR="002B1804" w:rsidRDefault="00911DFA" w:rsidP="00ED2FB8">
      <w:pPr>
        <w:tabs>
          <w:tab w:val="left" w:pos="1815"/>
        </w:tabs>
        <w:jc w:val="both"/>
        <w:rPr>
          <w:lang w:eastAsia="en-AU"/>
        </w:rPr>
      </w:pPr>
      <w:r>
        <w:t>The Committee in its General Comment on Article 12 affirmed that State parties must ensure that persons with disabilities have access to legal representation on an equal basis with others</w:t>
      </w:r>
      <w:r w:rsidR="00A37533">
        <w:t>.</w:t>
      </w:r>
      <w:r>
        <w:rPr>
          <w:rStyle w:val="FootnoteReference"/>
        </w:rPr>
        <w:footnoteReference w:id="39"/>
      </w:r>
      <w:r>
        <w:t xml:space="preserve"> </w:t>
      </w:r>
      <w:r w:rsidR="00A37533">
        <w:t>H</w:t>
      </w:r>
      <w:r>
        <w:t>owever, the obligation extends further than a superficial reading of Art 13 may suggest. As</w:t>
      </w:r>
      <w:r w:rsidR="000B62D9">
        <w:t xml:space="preserve"> these </w:t>
      </w:r>
      <w:proofErr w:type="gramStart"/>
      <w:r w:rsidR="000B62D9">
        <w:t>clients</w:t>
      </w:r>
      <w:proofErr w:type="gramEnd"/>
      <w:r>
        <w:t xml:space="preserve"> may have</w:t>
      </w:r>
      <w:r w:rsidR="000B62D9">
        <w:t xml:space="preserve"> significant support needs </w:t>
      </w:r>
      <w:r>
        <w:t>and frequently have</w:t>
      </w:r>
      <w:r w:rsidR="000B62D9">
        <w:t xml:space="preserve"> complex, clustered, multiple and significant legal issues</w:t>
      </w:r>
      <w:r>
        <w:t>,</w:t>
      </w:r>
      <w:r w:rsidR="000B62D9">
        <w:t xml:space="preserve"> specialised legal knowledge and holistic service delivery </w:t>
      </w:r>
      <w:r>
        <w:t>that is sensitive to intersectional identity is required</w:t>
      </w:r>
      <w:r w:rsidR="000B62D9">
        <w:t xml:space="preserve">. </w:t>
      </w:r>
    </w:p>
    <w:p w14:paraId="7A62F135" w14:textId="77777777" w:rsidR="00575E43" w:rsidRPr="00EC4B9A" w:rsidRDefault="00911DFA" w:rsidP="00EC4B9A">
      <w:pPr>
        <w:jc w:val="both"/>
        <w:rPr>
          <w:b/>
          <w:i/>
          <w:lang w:eastAsia="en-AU"/>
        </w:rPr>
      </w:pPr>
      <w:r w:rsidRPr="00EC4B9A">
        <w:rPr>
          <w:b/>
          <w:i/>
        </w:rPr>
        <w:t xml:space="preserve">Intersectional </w:t>
      </w:r>
      <w:r w:rsidR="00A37533" w:rsidRPr="00EC4B9A">
        <w:rPr>
          <w:b/>
          <w:i/>
        </w:rPr>
        <w:t>identify and access to justice</w:t>
      </w:r>
    </w:p>
    <w:p w14:paraId="40CC7A1C" w14:textId="77777777" w:rsidR="004460FE" w:rsidRDefault="005658CE" w:rsidP="00E54812">
      <w:pPr>
        <w:jc w:val="both"/>
        <w:rPr>
          <w:lang w:eastAsia="en-AU"/>
        </w:rPr>
      </w:pPr>
      <w:r>
        <w:rPr>
          <w:lang w:eastAsia="en-AU"/>
        </w:rPr>
        <w:t>The Committee has address</w:t>
      </w:r>
      <w:r w:rsidR="00A37533">
        <w:rPr>
          <w:lang w:eastAsia="en-AU"/>
        </w:rPr>
        <w:t>ed</w:t>
      </w:r>
      <w:r>
        <w:rPr>
          <w:lang w:eastAsia="en-AU"/>
        </w:rPr>
        <w:t xml:space="preserve"> intersectional identity as a concern in access to justice which must be accounted for through appropriate supports.</w:t>
      </w:r>
      <w:r w:rsidR="0074272B">
        <w:rPr>
          <w:lang w:eastAsia="en-AU"/>
        </w:rPr>
        <w:t xml:space="preserve"> In particular, the Committee highlighted how women with disabilities face further barriers in accessing justice, including with regard to exploitation, violence and abuse due to attitudinal barriers, discrimination and lack of procedural accommodations</w:t>
      </w:r>
      <w:r w:rsidR="00643E6D">
        <w:rPr>
          <w:lang w:eastAsia="en-AU"/>
        </w:rPr>
        <w:t>.</w:t>
      </w:r>
      <w:r w:rsidR="0074272B">
        <w:rPr>
          <w:rStyle w:val="FootnoteReference"/>
        </w:rPr>
        <w:footnoteReference w:id="40"/>
      </w:r>
      <w:r w:rsidR="00643E6D">
        <w:rPr>
          <w:lang w:eastAsia="en-AU"/>
        </w:rPr>
        <w:t xml:space="preserve"> The Committee specifically noted that the tendency to refer women with disabilities to social services rather than legal services to pursue remedies is a barrier to justice in itself. Furthermore, as women with disabilities are even more likely to experience forced interventions and violence than men with disabilities, access to judicial remedies</w:t>
      </w:r>
      <w:r w:rsidR="004460FE">
        <w:rPr>
          <w:lang w:eastAsia="en-AU"/>
        </w:rPr>
        <w:t xml:space="preserve"> that are gender sensitive</w:t>
      </w:r>
      <w:r w:rsidR="004460FE">
        <w:rPr>
          <w:rStyle w:val="FootnoteReference"/>
          <w:lang w:eastAsia="en-AU"/>
        </w:rPr>
        <w:footnoteReference w:id="41"/>
      </w:r>
      <w:r w:rsidR="004460FE">
        <w:rPr>
          <w:lang w:eastAsia="en-AU"/>
        </w:rPr>
        <w:t xml:space="preserve"> are</w:t>
      </w:r>
      <w:r w:rsidR="00643E6D">
        <w:rPr>
          <w:lang w:eastAsia="en-AU"/>
        </w:rPr>
        <w:t xml:space="preserve"> essential to prevent impunity and p</w:t>
      </w:r>
      <w:r w:rsidR="004460FE">
        <w:rPr>
          <w:lang w:eastAsia="en-AU"/>
        </w:rPr>
        <w:t>erpetuation of</w:t>
      </w:r>
      <w:r w:rsidR="00643E6D">
        <w:rPr>
          <w:lang w:eastAsia="en-AU"/>
        </w:rPr>
        <w:t xml:space="preserve"> abuse.</w:t>
      </w:r>
      <w:r w:rsidR="00C7697D">
        <w:rPr>
          <w:rStyle w:val="FootnoteReference"/>
          <w:lang w:eastAsia="en-AU"/>
        </w:rPr>
        <w:footnoteReference w:id="42"/>
      </w:r>
      <w:r w:rsidR="004F0624">
        <w:rPr>
          <w:lang w:eastAsia="en-AU"/>
        </w:rPr>
        <w:t xml:space="preserve"> </w:t>
      </w:r>
    </w:p>
    <w:p w14:paraId="7F7567BF" w14:textId="77777777" w:rsidR="004460FE" w:rsidRDefault="004460FE" w:rsidP="00E54812">
      <w:pPr>
        <w:jc w:val="both"/>
        <w:rPr>
          <w:lang w:eastAsia="en-AU"/>
        </w:rPr>
      </w:pPr>
      <w:r>
        <w:rPr>
          <w:lang w:eastAsia="en-AU"/>
        </w:rPr>
        <w:t>Children with disabilities are also recognised to require age-appropriate supports and assistance in access to justice</w:t>
      </w:r>
      <w:r>
        <w:rPr>
          <w:rStyle w:val="FootnoteReference"/>
          <w:lang w:eastAsia="en-AU"/>
        </w:rPr>
        <w:footnoteReference w:id="43"/>
      </w:r>
      <w:r>
        <w:rPr>
          <w:lang w:eastAsia="en-AU"/>
        </w:rPr>
        <w:t xml:space="preserve"> and so an age sensitive approach is to be taken in provision of legal services and other access supports including respect for the evolving capacities of children with disabilities and their right to preserve their identities.</w:t>
      </w:r>
      <w:r>
        <w:rPr>
          <w:rStyle w:val="FootnoteReference"/>
          <w:lang w:eastAsia="en-AU"/>
        </w:rPr>
        <w:footnoteReference w:id="44"/>
      </w:r>
    </w:p>
    <w:p w14:paraId="561A19F3" w14:textId="77777777" w:rsidR="00E54812" w:rsidRDefault="00531FEB" w:rsidP="00E54812">
      <w:pPr>
        <w:jc w:val="both"/>
        <w:rPr>
          <w:lang w:eastAsia="en-AU"/>
        </w:rPr>
      </w:pPr>
      <w:r>
        <w:rPr>
          <w:lang w:eastAsia="en-AU"/>
        </w:rPr>
        <w:t>In our view, t</w:t>
      </w:r>
      <w:r w:rsidR="004F0624">
        <w:rPr>
          <w:lang w:eastAsia="en-AU"/>
        </w:rPr>
        <w:t>his approach should also be taken to other intersectional identit</w:t>
      </w:r>
      <w:r w:rsidR="0048739D">
        <w:rPr>
          <w:lang w:eastAsia="en-AU"/>
        </w:rPr>
        <w:t>ies</w:t>
      </w:r>
      <w:r w:rsidR="004F0624">
        <w:rPr>
          <w:lang w:eastAsia="en-AU"/>
        </w:rPr>
        <w:t xml:space="preserve"> in </w:t>
      </w:r>
      <w:r w:rsidR="00DA15AC">
        <w:rPr>
          <w:lang w:eastAsia="en-AU"/>
        </w:rPr>
        <w:t>providing</w:t>
      </w:r>
      <w:r w:rsidR="004F0624">
        <w:rPr>
          <w:lang w:eastAsia="en-AU"/>
        </w:rPr>
        <w:t xml:space="preserve"> individualised support as well as target discrimination and violation founded on multiple identities, </w:t>
      </w:r>
      <w:r w:rsidR="0048739D">
        <w:rPr>
          <w:lang w:eastAsia="en-AU"/>
        </w:rPr>
        <w:t>to provide access to justice for</w:t>
      </w:r>
      <w:r w:rsidR="004F0624">
        <w:rPr>
          <w:lang w:eastAsia="en-AU"/>
        </w:rPr>
        <w:t xml:space="preserve"> </w:t>
      </w:r>
      <w:r w:rsidR="004F0624">
        <w:rPr>
          <w:i/>
          <w:lang w:eastAsia="en-AU"/>
        </w:rPr>
        <w:t xml:space="preserve">all </w:t>
      </w:r>
      <w:r w:rsidR="004F0624">
        <w:rPr>
          <w:lang w:eastAsia="en-AU"/>
        </w:rPr>
        <w:t>persons with disabilities.</w:t>
      </w:r>
    </w:p>
    <w:p w14:paraId="42625A04" w14:textId="77777777" w:rsidR="00575E43" w:rsidRPr="00EC4B9A" w:rsidRDefault="000E2DF3" w:rsidP="00EC4B9A">
      <w:pPr>
        <w:jc w:val="both"/>
        <w:rPr>
          <w:b/>
          <w:i/>
        </w:rPr>
      </w:pPr>
      <w:r w:rsidRPr="00EC4B9A">
        <w:rPr>
          <w:b/>
          <w:i/>
        </w:rPr>
        <w:t>S</w:t>
      </w:r>
      <w:r w:rsidR="00575E43" w:rsidRPr="00EC4B9A">
        <w:rPr>
          <w:b/>
          <w:i/>
        </w:rPr>
        <w:t xml:space="preserve">pecialist services </w:t>
      </w:r>
    </w:p>
    <w:p w14:paraId="52242405" w14:textId="77777777" w:rsidR="00387DE3" w:rsidRDefault="00531FEB" w:rsidP="00ED2FB8">
      <w:pPr>
        <w:jc w:val="both"/>
        <w:rPr>
          <w:lang w:eastAsia="en-AU"/>
        </w:rPr>
      </w:pPr>
      <w:r>
        <w:t>Art 13(2) (and other sections</w:t>
      </w:r>
      <w:r>
        <w:rPr>
          <w:rStyle w:val="FootnoteReference"/>
        </w:rPr>
        <w:footnoteReference w:id="45"/>
      </w:r>
      <w:r>
        <w:t>) of the CRPD which require specialised training on the rights of the CRPD for professional staff working with people with disabilities support a reading of the CPRD as also obliging</w:t>
      </w:r>
      <w:r w:rsidR="00387DE3">
        <w:t xml:space="preserve"> specialised service delivery</w:t>
      </w:r>
      <w:r>
        <w:t>.</w:t>
      </w:r>
      <w:r w:rsidR="00387DE3">
        <w:t xml:space="preserve"> </w:t>
      </w:r>
    </w:p>
    <w:p w14:paraId="4F86A21E" w14:textId="77777777" w:rsidR="00E54812" w:rsidRDefault="00384281" w:rsidP="00E54812">
      <w:pPr>
        <w:jc w:val="both"/>
        <w:rPr>
          <w:lang w:eastAsia="en-AU"/>
        </w:rPr>
      </w:pPr>
      <w:r>
        <w:rPr>
          <w:lang w:eastAsia="en-AU"/>
        </w:rPr>
        <w:t>Not only is there an obligation that professionals and staff working with persons with disabilities should be trained in the CRPD so as to better provide assistance and services guaranteed by those rights,</w:t>
      </w:r>
      <w:r>
        <w:rPr>
          <w:rStyle w:val="FootnoteReference"/>
          <w:lang w:eastAsia="en-AU"/>
        </w:rPr>
        <w:footnoteReference w:id="46"/>
      </w:r>
      <w:r>
        <w:rPr>
          <w:lang w:eastAsia="en-AU"/>
        </w:rPr>
        <w:t xml:space="preserve"> Art 13 </w:t>
      </w:r>
      <w:r w:rsidR="00531FEB">
        <w:rPr>
          <w:lang w:eastAsia="en-AU"/>
        </w:rPr>
        <w:t xml:space="preserve">also </w:t>
      </w:r>
      <w:r>
        <w:rPr>
          <w:lang w:eastAsia="en-AU"/>
        </w:rPr>
        <w:t>specifically requires appropriate training for those working in the administration of justice in ensuring access to justice for persons with disabilities. This highlights the necessity for lawyers representing persons with disabilit</w:t>
      </w:r>
      <w:r w:rsidR="00387DE3">
        <w:rPr>
          <w:lang w:eastAsia="en-AU"/>
        </w:rPr>
        <w:t>ies to be appropriately trained in the rights deprivations experienced by persons with disabilities and the legal avenues to find effective redress.</w:t>
      </w:r>
      <w:r w:rsidR="00E54812">
        <w:rPr>
          <w:lang w:eastAsia="en-AU"/>
        </w:rPr>
        <w:t xml:space="preserve"> Additionally, as discussed above, the rights involved often include deprivations of liberty, legal capacity and freedom from forced medical treatment and violations of the integrity of the person</w:t>
      </w:r>
      <w:r w:rsidR="00531FEB">
        <w:rPr>
          <w:lang w:eastAsia="en-AU"/>
        </w:rPr>
        <w:t>.  Accordingly, it is important for lawyers to be</w:t>
      </w:r>
      <w:r w:rsidR="00E54812">
        <w:rPr>
          <w:lang w:eastAsia="en-AU"/>
        </w:rPr>
        <w:t xml:space="preserve"> competent and familiar with the CRPD.</w:t>
      </w:r>
    </w:p>
    <w:p w14:paraId="7B062B9E" w14:textId="77777777" w:rsidR="005658CE" w:rsidRDefault="005658CE" w:rsidP="00ED2FB8">
      <w:pPr>
        <w:jc w:val="both"/>
        <w:rPr>
          <w:lang w:eastAsia="en-AU"/>
        </w:rPr>
      </w:pPr>
      <w:r>
        <w:rPr>
          <w:lang w:eastAsia="en-AU"/>
        </w:rPr>
        <w:lastRenderedPageBreak/>
        <w:t>Moreover, as</w:t>
      </w:r>
      <w:r w:rsidR="00ED2FB8">
        <w:rPr>
          <w:lang w:eastAsia="en-AU"/>
        </w:rPr>
        <w:t xml:space="preserve"> stated above,</w:t>
      </w:r>
      <w:r>
        <w:rPr>
          <w:lang w:eastAsia="en-AU"/>
        </w:rPr>
        <w:t xml:space="preserve"> the CRPD Committee in the case of Marlon Noble determined that the obligation to provide supports includes a positive obligation to analyse, identify and implement appropriate</w:t>
      </w:r>
      <w:r w:rsidR="00ED2FB8">
        <w:rPr>
          <w:lang w:eastAsia="en-AU"/>
        </w:rPr>
        <w:t xml:space="preserve"> supports.</w:t>
      </w:r>
      <w:r>
        <w:rPr>
          <w:lang w:eastAsia="en-AU"/>
        </w:rPr>
        <w:t xml:space="preserve"> </w:t>
      </w:r>
      <w:r w:rsidR="00ED2FB8">
        <w:rPr>
          <w:lang w:eastAsia="en-AU"/>
        </w:rPr>
        <w:t>A</w:t>
      </w:r>
      <w:r>
        <w:rPr>
          <w:lang w:eastAsia="en-AU"/>
        </w:rPr>
        <w:t>ccess to appropriately specialised and trained legal and non-leg</w:t>
      </w:r>
      <w:r w:rsidR="00C95AF4">
        <w:rPr>
          <w:lang w:eastAsia="en-AU"/>
        </w:rPr>
        <w:t xml:space="preserve">al professionals is a </w:t>
      </w:r>
      <w:r>
        <w:rPr>
          <w:lang w:eastAsia="en-AU"/>
        </w:rPr>
        <w:t>measure to fulfil this requirement.</w:t>
      </w:r>
    </w:p>
    <w:p w14:paraId="36C43A9E" w14:textId="77777777" w:rsidR="000E2DF3" w:rsidRPr="00EC4B9A" w:rsidRDefault="000E2DF3" w:rsidP="00EC4B9A">
      <w:pPr>
        <w:jc w:val="both"/>
        <w:rPr>
          <w:b/>
          <w:i/>
        </w:rPr>
      </w:pPr>
      <w:r w:rsidRPr="00EC4B9A">
        <w:rPr>
          <w:b/>
          <w:i/>
        </w:rPr>
        <w:t>Holistic service delivery with non-legal advocacy and supports</w:t>
      </w:r>
    </w:p>
    <w:p w14:paraId="2109A0BC" w14:textId="77777777" w:rsidR="0030633D" w:rsidRPr="00BE117B" w:rsidRDefault="00531FEB" w:rsidP="00ED2FB8">
      <w:pPr>
        <w:jc w:val="both"/>
        <w:rPr>
          <w:lang w:eastAsia="en-AU"/>
        </w:rPr>
      </w:pPr>
      <w:r>
        <w:rPr>
          <w:lang w:eastAsia="en-AU"/>
        </w:rPr>
        <w:t>T</w:t>
      </w:r>
      <w:r w:rsidR="00E54812">
        <w:rPr>
          <w:lang w:eastAsia="en-AU"/>
        </w:rPr>
        <w:t xml:space="preserve">he requirement for access to justice </w:t>
      </w:r>
      <w:r w:rsidR="00FB70AD">
        <w:rPr>
          <w:lang w:eastAsia="en-AU"/>
        </w:rPr>
        <w:t xml:space="preserve">in Art 13(1) </w:t>
      </w:r>
      <w:r w:rsidR="00E54812">
        <w:rPr>
          <w:lang w:eastAsia="en-AU"/>
        </w:rPr>
        <w:t xml:space="preserve">incorporates specific protection for </w:t>
      </w:r>
      <w:r>
        <w:rPr>
          <w:lang w:eastAsia="en-AU"/>
        </w:rPr>
        <w:t xml:space="preserve">a person’s </w:t>
      </w:r>
      <w:r w:rsidR="00FB70AD">
        <w:rPr>
          <w:lang w:eastAsia="en-AU"/>
        </w:rPr>
        <w:t>effective</w:t>
      </w:r>
      <w:r w:rsidR="00E54812">
        <w:rPr>
          <w:lang w:eastAsia="en-AU"/>
        </w:rPr>
        <w:t xml:space="preserve"> role</w:t>
      </w:r>
      <w:r w:rsidR="00FB70AD">
        <w:rPr>
          <w:lang w:eastAsia="en-AU"/>
        </w:rPr>
        <w:t xml:space="preserve"> as </w:t>
      </w:r>
      <w:r>
        <w:rPr>
          <w:lang w:eastAsia="en-AU"/>
        </w:rPr>
        <w:t xml:space="preserve">a </w:t>
      </w:r>
      <w:r w:rsidR="00FB70AD">
        <w:rPr>
          <w:lang w:eastAsia="en-AU"/>
        </w:rPr>
        <w:t>participant in their legal proceedings (from the preliminary stage and throughout)</w:t>
      </w:r>
      <w:r>
        <w:rPr>
          <w:lang w:eastAsia="en-AU"/>
        </w:rPr>
        <w:t>.</w:t>
      </w:r>
      <w:r w:rsidR="00FB70AD">
        <w:rPr>
          <w:rStyle w:val="FootnoteReference"/>
          <w:lang w:eastAsia="en-AU"/>
        </w:rPr>
        <w:footnoteReference w:id="47"/>
      </w:r>
      <w:r>
        <w:rPr>
          <w:lang w:eastAsia="en-AU"/>
        </w:rPr>
        <w:t xml:space="preserve">  As a result, and based on our experience of working to address challenges to procedural rights through legal and non-legal advocacy, we consider that </w:t>
      </w:r>
      <w:r w:rsidR="00FB70AD">
        <w:rPr>
          <w:lang w:eastAsia="en-AU"/>
        </w:rPr>
        <w:t>procedural accommodations</w:t>
      </w:r>
      <w:r w:rsidR="00E54812">
        <w:rPr>
          <w:lang w:eastAsia="en-AU"/>
        </w:rPr>
        <w:t xml:space="preserve"> </w:t>
      </w:r>
      <w:proofErr w:type="gramStart"/>
      <w:r w:rsidR="00F80469">
        <w:rPr>
          <w:lang w:eastAsia="en-AU"/>
        </w:rPr>
        <w:t xml:space="preserve">and </w:t>
      </w:r>
      <w:r w:rsidR="00E54812">
        <w:rPr>
          <w:lang w:eastAsia="en-AU"/>
        </w:rPr>
        <w:t xml:space="preserve"> non</w:t>
      </w:r>
      <w:proofErr w:type="gramEnd"/>
      <w:r w:rsidR="00E54812">
        <w:rPr>
          <w:lang w:eastAsia="en-AU"/>
        </w:rPr>
        <w:t>-legal supports</w:t>
      </w:r>
      <w:r w:rsidR="00FB70AD">
        <w:rPr>
          <w:lang w:eastAsia="en-AU"/>
        </w:rPr>
        <w:t xml:space="preserve"> and advocacy</w:t>
      </w:r>
      <w:r w:rsidR="00E54812">
        <w:rPr>
          <w:lang w:eastAsia="en-AU"/>
        </w:rPr>
        <w:t xml:space="preserve"> </w:t>
      </w:r>
      <w:r w:rsidR="00F80469">
        <w:rPr>
          <w:lang w:eastAsia="en-AU"/>
        </w:rPr>
        <w:t xml:space="preserve">are essential </w:t>
      </w:r>
      <w:r w:rsidR="00E54812">
        <w:rPr>
          <w:lang w:eastAsia="en-AU"/>
        </w:rPr>
        <w:t>to enabl</w:t>
      </w:r>
      <w:r w:rsidR="00F80469">
        <w:rPr>
          <w:lang w:eastAsia="en-AU"/>
        </w:rPr>
        <w:t>ing</w:t>
      </w:r>
      <w:r w:rsidR="00E54812">
        <w:rPr>
          <w:lang w:eastAsia="en-AU"/>
        </w:rPr>
        <w:t xml:space="preserve"> the person to have a voice.</w:t>
      </w:r>
    </w:p>
    <w:p w14:paraId="0967FDE7" w14:textId="77777777" w:rsidR="00575E43" w:rsidRPr="00EC4B9A" w:rsidRDefault="00575E43" w:rsidP="00EC4B9A">
      <w:pPr>
        <w:rPr>
          <w:b/>
          <w:lang w:eastAsia="en-AU"/>
        </w:rPr>
      </w:pPr>
      <w:r w:rsidRPr="00EC4B9A">
        <w:rPr>
          <w:b/>
          <w:lang w:eastAsia="en-AU"/>
        </w:rPr>
        <w:t xml:space="preserve">Adequately </w:t>
      </w:r>
      <w:r w:rsidR="00F80469">
        <w:rPr>
          <w:b/>
          <w:lang w:eastAsia="en-AU"/>
        </w:rPr>
        <w:t>r</w:t>
      </w:r>
      <w:r w:rsidRPr="00EC4B9A">
        <w:rPr>
          <w:b/>
          <w:lang w:eastAsia="en-AU"/>
        </w:rPr>
        <w:t xml:space="preserve">esourcing </w:t>
      </w:r>
      <w:r w:rsidR="00F80469">
        <w:rPr>
          <w:b/>
          <w:lang w:eastAsia="en-AU"/>
        </w:rPr>
        <w:t>l</w:t>
      </w:r>
      <w:r w:rsidRPr="00EC4B9A">
        <w:rPr>
          <w:b/>
          <w:lang w:eastAsia="en-AU"/>
        </w:rPr>
        <w:t xml:space="preserve">egal </w:t>
      </w:r>
      <w:r w:rsidR="00F80469">
        <w:rPr>
          <w:b/>
          <w:lang w:eastAsia="en-AU"/>
        </w:rPr>
        <w:t>a</w:t>
      </w:r>
      <w:r w:rsidRPr="00EC4B9A">
        <w:rPr>
          <w:b/>
          <w:lang w:eastAsia="en-AU"/>
        </w:rPr>
        <w:t xml:space="preserve">ssistance and </w:t>
      </w:r>
      <w:r w:rsidR="00F80469">
        <w:rPr>
          <w:b/>
          <w:lang w:eastAsia="en-AU"/>
        </w:rPr>
        <w:t>s</w:t>
      </w:r>
      <w:r w:rsidRPr="00EC4B9A">
        <w:rPr>
          <w:b/>
          <w:lang w:eastAsia="en-AU"/>
        </w:rPr>
        <w:t>upports</w:t>
      </w:r>
    </w:p>
    <w:p w14:paraId="758443D5" w14:textId="77777777" w:rsidR="00575E43" w:rsidRDefault="00575E43" w:rsidP="0025018C">
      <w:pPr>
        <w:jc w:val="both"/>
        <w:rPr>
          <w:lang w:eastAsia="en-AU"/>
        </w:rPr>
      </w:pPr>
      <w:r>
        <w:rPr>
          <w:lang w:eastAsia="en-AU"/>
        </w:rPr>
        <w:t xml:space="preserve">Despite </w:t>
      </w:r>
      <w:r w:rsidR="00F80469">
        <w:rPr>
          <w:lang w:eastAsia="en-AU"/>
        </w:rPr>
        <w:t xml:space="preserve">the </w:t>
      </w:r>
      <w:r>
        <w:rPr>
          <w:lang w:eastAsia="en-AU"/>
        </w:rPr>
        <w:t>requirement to make legal assistance available to persons with disabilities, persons with disabilities are not only more likely to have legal problems than those without, but that legal need is also more likely to be unmet</w:t>
      </w:r>
      <w:r w:rsidR="000A26E5">
        <w:rPr>
          <w:lang w:eastAsia="en-AU"/>
        </w:rPr>
        <w:t xml:space="preserve"> and their matters unresolved</w:t>
      </w:r>
      <w:r w:rsidR="00067B4A">
        <w:rPr>
          <w:lang w:eastAsia="en-AU"/>
        </w:rPr>
        <w:t>.</w:t>
      </w:r>
      <w:r w:rsidR="000A26E5">
        <w:rPr>
          <w:rStyle w:val="FootnoteReference"/>
          <w:lang w:eastAsia="en-AU"/>
        </w:rPr>
        <w:footnoteReference w:id="48"/>
      </w:r>
    </w:p>
    <w:p w14:paraId="6E2B3611" w14:textId="77777777" w:rsidR="00575E43" w:rsidRDefault="00575E43" w:rsidP="0025018C">
      <w:pPr>
        <w:jc w:val="both"/>
        <w:rPr>
          <w:lang w:eastAsia="en-AU"/>
        </w:rPr>
      </w:pPr>
      <w:r>
        <w:rPr>
          <w:lang w:eastAsia="en-AU"/>
        </w:rPr>
        <w:t xml:space="preserve">This is why adequately resourcing legal aid programmes </w:t>
      </w:r>
      <w:r w:rsidR="00067B4A">
        <w:rPr>
          <w:lang w:eastAsia="en-AU"/>
        </w:rPr>
        <w:t xml:space="preserve">to provide the appropriate specialist services </w:t>
      </w:r>
      <w:r>
        <w:rPr>
          <w:lang w:eastAsia="en-AU"/>
        </w:rPr>
        <w:t>as well as non-legal advocacy and supports, is a vital component in the obligation to provide supports in access to justice for persons with disabilities unde</w:t>
      </w:r>
      <w:r w:rsidR="005E67B4">
        <w:rPr>
          <w:lang w:eastAsia="en-AU"/>
        </w:rPr>
        <w:t>r the CRPD.</w:t>
      </w:r>
      <w:r>
        <w:rPr>
          <w:lang w:eastAsia="en-AU"/>
        </w:rPr>
        <w:t xml:space="preserve"> As will be outlined in further detail below, the implementation of this obligation often falls short of the need</w:t>
      </w:r>
      <w:r w:rsidR="0025018C">
        <w:rPr>
          <w:lang w:eastAsia="en-AU"/>
        </w:rPr>
        <w:t xml:space="preserve"> in Victoria</w:t>
      </w:r>
      <w:r>
        <w:rPr>
          <w:lang w:eastAsia="en-AU"/>
        </w:rPr>
        <w:t xml:space="preserve">, creating an </w:t>
      </w:r>
      <w:r w:rsidR="00366D6D">
        <w:rPr>
          <w:lang w:eastAsia="en-AU"/>
        </w:rPr>
        <w:t>ever-widening</w:t>
      </w:r>
      <w:r>
        <w:rPr>
          <w:lang w:eastAsia="en-AU"/>
        </w:rPr>
        <w:t xml:space="preserve"> access to justice gap for person with disabilities.</w:t>
      </w:r>
      <w:r w:rsidR="00B2434A">
        <w:rPr>
          <w:lang w:eastAsia="en-AU"/>
        </w:rPr>
        <w:t xml:space="preserve"> </w:t>
      </w:r>
    </w:p>
    <w:p w14:paraId="0AC61567" w14:textId="77777777" w:rsidR="00775E15" w:rsidRDefault="00775E15" w:rsidP="0025018C">
      <w:pPr>
        <w:jc w:val="both"/>
        <w:rPr>
          <w:lang w:eastAsia="en-AU"/>
        </w:rPr>
      </w:pPr>
    </w:p>
    <w:p w14:paraId="6C2FC132" w14:textId="77777777" w:rsidR="00775E15" w:rsidRDefault="00775E15" w:rsidP="0025018C">
      <w:pPr>
        <w:jc w:val="both"/>
        <w:rPr>
          <w:lang w:eastAsia="en-AU"/>
        </w:rPr>
      </w:pPr>
    </w:p>
    <w:p w14:paraId="7F137E84" w14:textId="77777777" w:rsidR="00775E15" w:rsidRDefault="00775E15" w:rsidP="0025018C">
      <w:pPr>
        <w:jc w:val="both"/>
        <w:rPr>
          <w:lang w:eastAsia="en-AU"/>
        </w:rPr>
      </w:pPr>
    </w:p>
    <w:p w14:paraId="29E988C3" w14:textId="77777777" w:rsidR="00775E15" w:rsidRDefault="00775E15" w:rsidP="0025018C">
      <w:pPr>
        <w:jc w:val="both"/>
        <w:rPr>
          <w:lang w:eastAsia="en-AU"/>
        </w:rPr>
      </w:pPr>
    </w:p>
    <w:p w14:paraId="7F306F96" w14:textId="77777777" w:rsidR="00775E15" w:rsidRDefault="00775E15" w:rsidP="0025018C">
      <w:pPr>
        <w:jc w:val="both"/>
        <w:rPr>
          <w:lang w:eastAsia="en-AU"/>
        </w:rPr>
      </w:pPr>
    </w:p>
    <w:p w14:paraId="0035CA07" w14:textId="77777777" w:rsidR="00F80469" w:rsidRDefault="00F80469">
      <w:pPr>
        <w:spacing w:after="0" w:line="240" w:lineRule="auto"/>
        <w:rPr>
          <w:rFonts w:cs="Arial"/>
          <w:b/>
          <w:bCs/>
          <w:color w:val="971A4B"/>
          <w:kern w:val="32"/>
          <w:sz w:val="32"/>
          <w:szCs w:val="32"/>
          <w:lang w:eastAsia="en-AU"/>
        </w:rPr>
      </w:pPr>
      <w:r>
        <w:br w:type="page"/>
      </w:r>
    </w:p>
    <w:p w14:paraId="2A941DD3" w14:textId="77777777" w:rsidR="00000830" w:rsidRPr="00000830" w:rsidRDefault="00DB14B6" w:rsidP="00EC4B9A">
      <w:pPr>
        <w:pStyle w:val="Heading1"/>
      </w:pPr>
      <w:bookmarkStart w:id="9" w:name="_Toc482020690"/>
      <w:r>
        <w:lastRenderedPageBreak/>
        <w:t>Law and Policy on Access to Justice in Victoria</w:t>
      </w:r>
      <w:bookmarkEnd w:id="9"/>
    </w:p>
    <w:p w14:paraId="0F48F2BC" w14:textId="77777777" w:rsidR="008117F1" w:rsidRPr="00723ACD" w:rsidRDefault="008117F1" w:rsidP="005E67B4">
      <w:pPr>
        <w:jc w:val="both"/>
        <w:rPr>
          <w:lang w:eastAsia="en-AU"/>
        </w:rPr>
      </w:pPr>
      <w:r w:rsidRPr="00723ACD">
        <w:rPr>
          <w:lang w:eastAsia="en-AU"/>
        </w:rPr>
        <w:t xml:space="preserve">As one of the original signatories to the CRPD, Australia has been actively engaged both internationally and at a national and local level in implementing a rights-based approach to disability law and policy. </w:t>
      </w:r>
    </w:p>
    <w:p w14:paraId="7C94D84E" w14:textId="77777777" w:rsidR="009B21DF" w:rsidRPr="00723ACD" w:rsidRDefault="008117F1" w:rsidP="005E67B4">
      <w:pPr>
        <w:jc w:val="both"/>
        <w:rPr>
          <w:lang w:eastAsia="en-AU"/>
        </w:rPr>
      </w:pPr>
      <w:r w:rsidRPr="00723ACD">
        <w:rPr>
          <w:lang w:eastAsia="en-AU"/>
        </w:rPr>
        <w:t>In brief, the CRPD has had broad influence on Australian law and policy:</w:t>
      </w:r>
    </w:p>
    <w:p w14:paraId="753B2982" w14:textId="77777777" w:rsidR="009B21DF" w:rsidRPr="00723ACD" w:rsidRDefault="00793180" w:rsidP="002D0954">
      <w:pPr>
        <w:pStyle w:val="ListParagraph"/>
        <w:numPr>
          <w:ilvl w:val="0"/>
          <w:numId w:val="5"/>
        </w:numPr>
        <w:jc w:val="both"/>
        <w:rPr>
          <w:lang w:eastAsia="en-AU"/>
        </w:rPr>
      </w:pPr>
      <w:r>
        <w:rPr>
          <w:lang w:eastAsia="en-AU"/>
        </w:rPr>
        <w:t xml:space="preserve">The </w:t>
      </w:r>
      <w:r w:rsidR="009B21DF" w:rsidRPr="00723ACD">
        <w:rPr>
          <w:lang w:eastAsia="en-AU"/>
        </w:rPr>
        <w:t>N</w:t>
      </w:r>
      <w:r>
        <w:rPr>
          <w:lang w:eastAsia="en-AU"/>
        </w:rPr>
        <w:t>ational Disability Insurance Scheme</w:t>
      </w:r>
      <w:r w:rsidR="00C0213D">
        <w:rPr>
          <w:lang w:eastAsia="en-AU"/>
        </w:rPr>
        <w:t xml:space="preserve"> is intended to give effect to Australia’s obligations under the CRPD</w:t>
      </w:r>
      <w:r w:rsidR="00C0213D">
        <w:rPr>
          <w:rStyle w:val="FootnoteReference"/>
          <w:lang w:eastAsia="en-AU"/>
        </w:rPr>
        <w:footnoteReference w:id="49"/>
      </w:r>
      <w:r w:rsidR="00C0213D">
        <w:rPr>
          <w:lang w:eastAsia="en-AU"/>
        </w:rPr>
        <w:t xml:space="preserve"> in </w:t>
      </w:r>
      <w:r w:rsidR="006752F6">
        <w:rPr>
          <w:lang w:eastAsia="en-AU"/>
        </w:rPr>
        <w:t xml:space="preserve">the </w:t>
      </w:r>
      <w:r w:rsidR="00C0213D">
        <w:rPr>
          <w:lang w:eastAsia="en-AU"/>
        </w:rPr>
        <w:t>provision of disability services and draws its general principles directly from the CRPD.</w:t>
      </w:r>
      <w:r w:rsidR="00C0213D">
        <w:rPr>
          <w:rStyle w:val="FootnoteReference"/>
          <w:lang w:eastAsia="en-AU"/>
        </w:rPr>
        <w:footnoteReference w:id="50"/>
      </w:r>
    </w:p>
    <w:p w14:paraId="79B4661F" w14:textId="77777777" w:rsidR="009B21DF" w:rsidRDefault="0051781B" w:rsidP="002D0954">
      <w:pPr>
        <w:pStyle w:val="ListParagraph"/>
        <w:numPr>
          <w:ilvl w:val="0"/>
          <w:numId w:val="5"/>
        </w:numPr>
        <w:jc w:val="both"/>
        <w:rPr>
          <w:lang w:eastAsia="en-AU"/>
        </w:rPr>
      </w:pPr>
      <w:r w:rsidRPr="00723ACD">
        <w:rPr>
          <w:lang w:eastAsia="en-AU"/>
        </w:rPr>
        <w:t xml:space="preserve">National </w:t>
      </w:r>
      <w:r w:rsidR="009B21DF" w:rsidRPr="00723ACD">
        <w:rPr>
          <w:lang w:eastAsia="en-AU"/>
        </w:rPr>
        <w:t>Disability Strategy</w:t>
      </w:r>
      <w:r w:rsidR="006752F6">
        <w:rPr>
          <w:lang w:eastAsia="en-AU"/>
        </w:rPr>
        <w:t xml:space="preserve"> 2010-2020 provides a framework for disability policy in response to Australia ratifying the CRPD to protect, promote and fulfil the human rights of persons with disabilities, their families and carers and contributes to Australia’s reporting responsibilities under the CRPD.</w:t>
      </w:r>
      <w:r w:rsidR="006752F6">
        <w:rPr>
          <w:rStyle w:val="FootnoteReference"/>
          <w:lang w:eastAsia="en-AU"/>
        </w:rPr>
        <w:footnoteReference w:id="51"/>
      </w:r>
    </w:p>
    <w:p w14:paraId="18BEA3E2" w14:textId="77777777" w:rsidR="005A4E89" w:rsidRDefault="005A4E89" w:rsidP="002D0954">
      <w:pPr>
        <w:pStyle w:val="ListParagraph"/>
        <w:numPr>
          <w:ilvl w:val="0"/>
          <w:numId w:val="5"/>
        </w:numPr>
        <w:jc w:val="both"/>
        <w:rPr>
          <w:lang w:eastAsia="en-AU"/>
        </w:rPr>
      </w:pPr>
      <w:r w:rsidRPr="00723ACD">
        <w:rPr>
          <w:lang w:eastAsia="en-AU"/>
        </w:rPr>
        <w:t>Since the ratification of the CRPD, Australia has undertaken numerous law reform initiatives concern</w:t>
      </w:r>
      <w:r>
        <w:rPr>
          <w:lang w:eastAsia="en-AU"/>
        </w:rPr>
        <w:t xml:space="preserve">ing disability that affirmed </w:t>
      </w:r>
      <w:r w:rsidR="00966F06">
        <w:rPr>
          <w:lang w:eastAsia="en-AU"/>
        </w:rPr>
        <w:t xml:space="preserve">the </w:t>
      </w:r>
      <w:r>
        <w:rPr>
          <w:lang w:eastAsia="en-AU"/>
        </w:rPr>
        <w:t>provision of</w:t>
      </w:r>
      <w:r w:rsidRPr="00723ACD">
        <w:rPr>
          <w:lang w:eastAsia="en-AU"/>
        </w:rPr>
        <w:t xml:space="preserve"> </w:t>
      </w:r>
      <w:r>
        <w:rPr>
          <w:lang w:eastAsia="en-AU"/>
        </w:rPr>
        <w:t xml:space="preserve">formal support measures as necessary for </w:t>
      </w:r>
      <w:r w:rsidRPr="00723ACD">
        <w:rPr>
          <w:lang w:eastAsia="en-AU"/>
        </w:rPr>
        <w:t>access to justice.</w:t>
      </w:r>
      <w:r>
        <w:rPr>
          <w:rStyle w:val="FootnoteReference"/>
          <w:lang w:eastAsia="en-AU"/>
        </w:rPr>
        <w:footnoteReference w:id="52"/>
      </w:r>
    </w:p>
    <w:p w14:paraId="64A1C8E0" w14:textId="77777777" w:rsidR="006B5E54" w:rsidRPr="006B5E54" w:rsidRDefault="002F60E2" w:rsidP="006B5E54">
      <w:pPr>
        <w:jc w:val="both"/>
        <w:rPr>
          <w:b/>
          <w:lang w:eastAsia="en-AU"/>
        </w:rPr>
      </w:pPr>
      <w:r>
        <w:rPr>
          <w:b/>
          <w:lang w:eastAsia="en-AU"/>
        </w:rPr>
        <w:t>P</w:t>
      </w:r>
      <w:r w:rsidR="006B5E54">
        <w:rPr>
          <w:b/>
          <w:lang w:eastAsia="en-AU"/>
        </w:rPr>
        <w:t xml:space="preserve">rocedural </w:t>
      </w:r>
      <w:r>
        <w:rPr>
          <w:b/>
          <w:lang w:eastAsia="en-AU"/>
        </w:rPr>
        <w:t xml:space="preserve">accommodations and </w:t>
      </w:r>
      <w:r w:rsidR="006B5E54">
        <w:rPr>
          <w:b/>
          <w:lang w:eastAsia="en-AU"/>
        </w:rPr>
        <w:t>supports</w:t>
      </w:r>
      <w:r>
        <w:rPr>
          <w:b/>
          <w:lang w:eastAsia="en-AU"/>
        </w:rPr>
        <w:t xml:space="preserve"> in the court room</w:t>
      </w:r>
    </w:p>
    <w:p w14:paraId="2DA426EC" w14:textId="77777777" w:rsidR="00DB14B6" w:rsidRPr="00EC4B9A" w:rsidRDefault="00537002" w:rsidP="00EC4B9A">
      <w:pPr>
        <w:jc w:val="both"/>
        <w:rPr>
          <w:lang w:eastAsia="en-AU"/>
        </w:rPr>
      </w:pPr>
      <w:r w:rsidRPr="00EC4B9A">
        <w:rPr>
          <w:lang w:eastAsia="en-AU"/>
        </w:rPr>
        <w:t>In Victoria</w:t>
      </w:r>
      <w:r w:rsidR="00794788" w:rsidRPr="00EC4B9A">
        <w:rPr>
          <w:lang w:eastAsia="en-AU"/>
        </w:rPr>
        <w:t>,</w:t>
      </w:r>
      <w:r w:rsidRPr="00EC4B9A">
        <w:rPr>
          <w:lang w:eastAsia="en-AU"/>
        </w:rPr>
        <w:t xml:space="preserve"> the Disability Access Bench Book provides a number of recommendations to judicial officers to exercise their discretion to make adjustments to court procedure under evidence law</w:t>
      </w:r>
      <w:r w:rsidR="005178F0" w:rsidRPr="00EC4B9A">
        <w:rPr>
          <w:lang w:eastAsia="en-AU"/>
        </w:rPr>
        <w:t xml:space="preserve"> and their inherent supervisory powers</w:t>
      </w:r>
      <w:r w:rsidRPr="00EC4B9A">
        <w:rPr>
          <w:lang w:eastAsia="en-AU"/>
        </w:rPr>
        <w:t>.</w:t>
      </w:r>
      <w:r w:rsidR="00794788" w:rsidRPr="00EC4B9A">
        <w:rPr>
          <w:lang w:eastAsia="en-AU"/>
        </w:rPr>
        <w:footnoteReference w:id="53"/>
      </w:r>
      <w:r w:rsidRPr="00EC4B9A">
        <w:rPr>
          <w:lang w:eastAsia="en-AU"/>
        </w:rPr>
        <w:t xml:space="preserve"> </w:t>
      </w:r>
      <w:r w:rsidR="003D0FC3" w:rsidRPr="00EC4B9A">
        <w:rPr>
          <w:lang w:eastAsia="en-AU"/>
        </w:rPr>
        <w:t>It has a broad range of recommendations for adjustments for persons with disabilities as complainants, defendants, witnesses and otherwise.</w:t>
      </w:r>
      <w:r w:rsidR="00DB14B6" w:rsidRPr="00EC4B9A">
        <w:rPr>
          <w:lang w:eastAsia="en-AU"/>
        </w:rPr>
        <w:t xml:space="preserve"> </w:t>
      </w:r>
    </w:p>
    <w:p w14:paraId="0D75F4A5" w14:textId="77777777" w:rsidR="006B5E54" w:rsidRPr="00EC4B9A" w:rsidRDefault="003D0FC3" w:rsidP="00EC4B9A">
      <w:pPr>
        <w:jc w:val="both"/>
        <w:rPr>
          <w:lang w:eastAsia="en-AU"/>
        </w:rPr>
      </w:pPr>
      <w:r w:rsidRPr="00EC4B9A">
        <w:rPr>
          <w:lang w:eastAsia="en-AU"/>
        </w:rPr>
        <w:t>Examples of e</w:t>
      </w:r>
      <w:r w:rsidR="006B5E54" w:rsidRPr="00EC4B9A">
        <w:rPr>
          <w:lang w:eastAsia="en-AU"/>
        </w:rPr>
        <w:t xml:space="preserve">ffective supports in Australian courts </w:t>
      </w:r>
      <w:r w:rsidRPr="00EC4B9A">
        <w:rPr>
          <w:lang w:eastAsia="en-AU"/>
        </w:rPr>
        <w:t xml:space="preserve">for persons with disabilities </w:t>
      </w:r>
      <w:r w:rsidR="006238D0" w:rsidRPr="00EC4B9A">
        <w:rPr>
          <w:lang w:eastAsia="en-AU"/>
        </w:rPr>
        <w:t xml:space="preserve">that have enabled </w:t>
      </w:r>
      <w:r w:rsidR="002F60E2" w:rsidRPr="00EC4B9A">
        <w:rPr>
          <w:lang w:eastAsia="en-AU"/>
        </w:rPr>
        <w:t xml:space="preserve">them to access </w:t>
      </w:r>
      <w:r w:rsidR="006238D0" w:rsidRPr="00EC4B9A">
        <w:rPr>
          <w:lang w:eastAsia="en-AU"/>
        </w:rPr>
        <w:t xml:space="preserve">the </w:t>
      </w:r>
      <w:r w:rsidR="002F60E2" w:rsidRPr="00EC4B9A">
        <w:rPr>
          <w:lang w:eastAsia="en-AU"/>
        </w:rPr>
        <w:t>mainstream justice system in line with the requirement for universal design with supports</w:t>
      </w:r>
      <w:r w:rsidR="00F80469">
        <w:rPr>
          <w:lang w:eastAsia="en-AU"/>
        </w:rPr>
        <w:t xml:space="preserve"> include:</w:t>
      </w:r>
      <w:r w:rsidR="002F60E2" w:rsidRPr="00EC4B9A">
        <w:rPr>
          <w:lang w:eastAsia="en-AU"/>
        </w:rPr>
        <w:t xml:space="preserve"> </w:t>
      </w:r>
    </w:p>
    <w:p w14:paraId="0137074E" w14:textId="77777777" w:rsidR="006B5E54" w:rsidRPr="006B5E54" w:rsidRDefault="006B5E54" w:rsidP="002D0954">
      <w:pPr>
        <w:pStyle w:val="NormalWeb"/>
        <w:numPr>
          <w:ilvl w:val="0"/>
          <w:numId w:val="12"/>
        </w:numPr>
        <w:spacing w:before="0" w:beforeAutospacing="0" w:line="360" w:lineRule="auto"/>
        <w:jc w:val="both"/>
        <w:rPr>
          <w:rFonts w:ascii="Arial" w:hAnsi="Arial" w:cs="Arial"/>
          <w:color w:val="000000"/>
          <w:sz w:val="22"/>
          <w:szCs w:val="22"/>
        </w:rPr>
      </w:pPr>
      <w:r w:rsidRPr="006B5E54">
        <w:rPr>
          <w:rFonts w:ascii="Arial" w:hAnsi="Arial" w:cs="Arial"/>
          <w:color w:val="000000"/>
          <w:sz w:val="22"/>
          <w:szCs w:val="22"/>
        </w:rPr>
        <w:t>additional breaks in court proceedings</w:t>
      </w:r>
      <w:r w:rsidRPr="006B5E54">
        <w:rPr>
          <w:rStyle w:val="FootnoteReference"/>
          <w:rFonts w:cs="Arial"/>
          <w:color w:val="000000"/>
          <w:sz w:val="22"/>
          <w:szCs w:val="22"/>
        </w:rPr>
        <w:footnoteReference w:id="54"/>
      </w:r>
    </w:p>
    <w:p w14:paraId="371FF901" w14:textId="77777777" w:rsidR="006B5E54" w:rsidRPr="006B5E54" w:rsidRDefault="006B5E54" w:rsidP="00EC4B9A">
      <w:pPr>
        <w:pStyle w:val="NormalWeb"/>
        <w:numPr>
          <w:ilvl w:val="0"/>
          <w:numId w:val="12"/>
        </w:numPr>
        <w:spacing w:line="276" w:lineRule="auto"/>
        <w:jc w:val="both"/>
        <w:rPr>
          <w:rFonts w:ascii="Arial" w:hAnsi="Arial" w:cs="Arial"/>
          <w:color w:val="000000"/>
          <w:sz w:val="22"/>
          <w:szCs w:val="22"/>
        </w:rPr>
      </w:pPr>
      <w:r w:rsidRPr="006B5E54">
        <w:rPr>
          <w:rFonts w:ascii="Arial" w:hAnsi="Arial" w:cs="Arial"/>
          <w:color w:val="000000"/>
          <w:sz w:val="22"/>
          <w:szCs w:val="22"/>
        </w:rPr>
        <w:t xml:space="preserve">counsel explaining court processes </w:t>
      </w:r>
      <w:r w:rsidR="00C928FF">
        <w:rPr>
          <w:rFonts w:ascii="Arial" w:hAnsi="Arial" w:cs="Arial"/>
          <w:color w:val="000000"/>
          <w:sz w:val="22"/>
          <w:szCs w:val="22"/>
        </w:rPr>
        <w:t xml:space="preserve">to the </w:t>
      </w:r>
      <w:r w:rsidRPr="006B5E54">
        <w:rPr>
          <w:rFonts w:ascii="Arial" w:hAnsi="Arial" w:cs="Arial"/>
          <w:color w:val="000000"/>
          <w:sz w:val="22"/>
          <w:szCs w:val="22"/>
        </w:rPr>
        <w:t>person in an accessible way, and ensuring language is accessible or slowed to allow interpretation and/or explanation</w:t>
      </w:r>
      <w:r w:rsidRPr="006B5E54">
        <w:rPr>
          <w:rStyle w:val="FootnoteReference"/>
          <w:rFonts w:cs="Arial"/>
          <w:color w:val="000000"/>
          <w:sz w:val="22"/>
          <w:szCs w:val="22"/>
        </w:rPr>
        <w:footnoteReference w:id="55"/>
      </w:r>
    </w:p>
    <w:p w14:paraId="60A061A5" w14:textId="77777777" w:rsidR="006B5E54" w:rsidRPr="002F60E2" w:rsidRDefault="006B5E54" w:rsidP="00EC4B9A">
      <w:pPr>
        <w:pStyle w:val="NormalWeb"/>
        <w:numPr>
          <w:ilvl w:val="0"/>
          <w:numId w:val="12"/>
        </w:numPr>
        <w:spacing w:line="276" w:lineRule="auto"/>
        <w:jc w:val="both"/>
        <w:rPr>
          <w:rFonts w:ascii="Arial" w:hAnsi="Arial" w:cs="Arial"/>
          <w:color w:val="000000"/>
          <w:sz w:val="22"/>
          <w:szCs w:val="22"/>
        </w:rPr>
      </w:pPr>
      <w:r w:rsidRPr="002F60E2">
        <w:rPr>
          <w:rFonts w:ascii="Arial" w:hAnsi="Arial" w:cs="Arial"/>
          <w:color w:val="000000"/>
          <w:sz w:val="22"/>
          <w:szCs w:val="22"/>
        </w:rPr>
        <w:t>providing a support person, such as court-based supporters</w:t>
      </w:r>
      <w:r w:rsidR="002F60E2" w:rsidRPr="002F60E2">
        <w:rPr>
          <w:rFonts w:ascii="Arial" w:hAnsi="Arial" w:cs="Arial"/>
          <w:color w:val="000000"/>
          <w:sz w:val="22"/>
          <w:szCs w:val="22"/>
        </w:rPr>
        <w:t xml:space="preserve"> as a measure via special witness declarations </w:t>
      </w:r>
      <w:r w:rsidR="002F60E2">
        <w:rPr>
          <w:rFonts w:ascii="Arial" w:hAnsi="Arial" w:cs="Arial"/>
          <w:color w:val="000000"/>
          <w:sz w:val="22"/>
          <w:szCs w:val="22"/>
        </w:rPr>
        <w:t xml:space="preserve">and </w:t>
      </w:r>
      <w:r w:rsidR="003D0FC3" w:rsidRPr="002F60E2">
        <w:rPr>
          <w:rFonts w:ascii="Arial" w:hAnsi="Arial" w:cs="Arial"/>
          <w:color w:val="000000"/>
          <w:sz w:val="22"/>
          <w:szCs w:val="22"/>
        </w:rPr>
        <w:t xml:space="preserve">to allow for </w:t>
      </w:r>
      <w:r w:rsidR="002F60E2">
        <w:rPr>
          <w:rFonts w:ascii="Arial" w:hAnsi="Arial" w:cs="Arial"/>
          <w:color w:val="000000"/>
          <w:sz w:val="22"/>
          <w:szCs w:val="22"/>
        </w:rPr>
        <w:t xml:space="preserve">other </w:t>
      </w:r>
      <w:r w:rsidR="003D0FC3" w:rsidRPr="002F60E2">
        <w:rPr>
          <w:rFonts w:ascii="Arial" w:hAnsi="Arial" w:cs="Arial"/>
          <w:color w:val="000000"/>
          <w:sz w:val="22"/>
          <w:szCs w:val="22"/>
        </w:rPr>
        <w:t>additional support measures in the adversarial court setting</w:t>
      </w:r>
      <w:r w:rsidR="002F60E2">
        <w:rPr>
          <w:rFonts w:ascii="Arial" w:hAnsi="Arial" w:cs="Arial"/>
          <w:color w:val="000000"/>
          <w:sz w:val="22"/>
          <w:szCs w:val="22"/>
        </w:rPr>
        <w:t>, such as</w:t>
      </w:r>
      <w:r w:rsidR="006D3BE4">
        <w:rPr>
          <w:rFonts w:ascii="Arial" w:hAnsi="Arial" w:cs="Arial"/>
          <w:color w:val="000000"/>
          <w:sz w:val="22"/>
          <w:szCs w:val="22"/>
        </w:rPr>
        <w:t xml:space="preserve"> judges</w:t>
      </w:r>
      <w:r w:rsidR="002F60E2">
        <w:rPr>
          <w:rFonts w:ascii="Arial" w:hAnsi="Arial" w:cs="Arial"/>
          <w:color w:val="000000"/>
          <w:sz w:val="22"/>
          <w:szCs w:val="22"/>
        </w:rPr>
        <w:t xml:space="preserve"> instructing counsel to speak slower or use simpler terms</w:t>
      </w:r>
      <w:bookmarkStart w:id="10" w:name="_Ref476837093"/>
      <w:r w:rsidRPr="006B5E54">
        <w:rPr>
          <w:rFonts w:ascii="Arial" w:hAnsi="Arial" w:cs="Arial"/>
          <w:color w:val="000000"/>
          <w:sz w:val="22"/>
          <w:szCs w:val="22"/>
          <w:vertAlign w:val="superscript"/>
        </w:rPr>
        <w:footnoteReference w:id="56"/>
      </w:r>
      <w:bookmarkEnd w:id="10"/>
    </w:p>
    <w:p w14:paraId="03CEEAC9" w14:textId="77777777" w:rsidR="006B5E54" w:rsidRPr="006B5E54" w:rsidRDefault="006B5E54" w:rsidP="00EC4B9A">
      <w:pPr>
        <w:pStyle w:val="NormalWeb"/>
        <w:numPr>
          <w:ilvl w:val="0"/>
          <w:numId w:val="12"/>
        </w:numPr>
        <w:spacing w:line="276" w:lineRule="auto"/>
        <w:jc w:val="both"/>
        <w:rPr>
          <w:rFonts w:ascii="Arial" w:hAnsi="Arial" w:cs="Arial"/>
          <w:color w:val="000000"/>
          <w:sz w:val="22"/>
          <w:szCs w:val="22"/>
        </w:rPr>
      </w:pPr>
      <w:r w:rsidRPr="006B5E54">
        <w:rPr>
          <w:rFonts w:ascii="Arial" w:hAnsi="Arial" w:cs="Arial"/>
          <w:color w:val="000000"/>
          <w:sz w:val="22"/>
          <w:szCs w:val="22"/>
        </w:rPr>
        <w:lastRenderedPageBreak/>
        <w:t>‘easy English’ summaries of trial proceedings including provision of dot-point summaries at the end of each court day</w:t>
      </w:r>
      <w:r w:rsidRPr="006B5E54">
        <w:rPr>
          <w:rStyle w:val="FootnoteReference"/>
          <w:rFonts w:cs="Arial"/>
          <w:color w:val="000000"/>
          <w:sz w:val="22"/>
          <w:szCs w:val="22"/>
        </w:rPr>
        <w:footnoteReference w:id="57"/>
      </w:r>
    </w:p>
    <w:p w14:paraId="3411CD74" w14:textId="77777777" w:rsidR="006B5E54" w:rsidRPr="006B5E54" w:rsidRDefault="006B5E54" w:rsidP="00EC4B9A">
      <w:pPr>
        <w:pStyle w:val="NormalWeb"/>
        <w:numPr>
          <w:ilvl w:val="0"/>
          <w:numId w:val="12"/>
        </w:numPr>
        <w:spacing w:line="276" w:lineRule="auto"/>
        <w:jc w:val="both"/>
        <w:rPr>
          <w:rFonts w:ascii="Arial" w:hAnsi="Arial" w:cs="Arial"/>
          <w:color w:val="000000"/>
          <w:sz w:val="22"/>
          <w:szCs w:val="22"/>
        </w:rPr>
      </w:pPr>
      <w:r w:rsidRPr="006B5E54">
        <w:rPr>
          <w:rFonts w:ascii="Arial" w:hAnsi="Arial" w:cs="Arial"/>
          <w:color w:val="000000"/>
          <w:sz w:val="22"/>
          <w:szCs w:val="22"/>
        </w:rPr>
        <w:t>video testimony for those who may find the courtroom environment distressing or confusing</w:t>
      </w:r>
      <w:r w:rsidRPr="006B5E54">
        <w:rPr>
          <w:rStyle w:val="FootnoteReference"/>
          <w:rFonts w:cs="Arial"/>
          <w:color w:val="000000"/>
          <w:sz w:val="22"/>
          <w:szCs w:val="22"/>
        </w:rPr>
        <w:footnoteReference w:id="58"/>
      </w:r>
    </w:p>
    <w:p w14:paraId="2A03A9F8" w14:textId="77777777" w:rsidR="006B5E54" w:rsidRPr="006B5E54" w:rsidRDefault="002F60E2" w:rsidP="00EC4B9A">
      <w:pPr>
        <w:pStyle w:val="NormalWeb"/>
        <w:numPr>
          <w:ilvl w:val="0"/>
          <w:numId w:val="12"/>
        </w:numPr>
        <w:spacing w:line="276" w:lineRule="auto"/>
        <w:jc w:val="both"/>
        <w:rPr>
          <w:rFonts w:ascii="Arial" w:hAnsi="Arial" w:cs="Arial"/>
          <w:color w:val="000000"/>
          <w:sz w:val="22"/>
          <w:szCs w:val="22"/>
        </w:rPr>
      </w:pPr>
      <w:r>
        <w:rPr>
          <w:rFonts w:ascii="Arial" w:hAnsi="Arial" w:cs="Arial"/>
          <w:color w:val="000000"/>
          <w:sz w:val="22"/>
          <w:szCs w:val="22"/>
        </w:rPr>
        <w:t xml:space="preserve">suggesting </w:t>
      </w:r>
      <w:r w:rsidR="006B5E54" w:rsidRPr="006B5E54">
        <w:rPr>
          <w:rFonts w:ascii="Arial" w:hAnsi="Arial" w:cs="Arial"/>
          <w:color w:val="000000"/>
          <w:sz w:val="22"/>
          <w:szCs w:val="22"/>
        </w:rPr>
        <w:t>educational sessions/programmes for accused who may be considered fit to stand trial following education</w:t>
      </w:r>
      <w:r w:rsidR="006B5E54" w:rsidRPr="006B5E54">
        <w:rPr>
          <w:rStyle w:val="FootnoteReference"/>
          <w:rFonts w:cs="Arial"/>
          <w:color w:val="000000"/>
          <w:sz w:val="22"/>
          <w:szCs w:val="22"/>
        </w:rPr>
        <w:footnoteReference w:id="59"/>
      </w:r>
      <w:r w:rsidR="006B5E54" w:rsidRPr="006B5E54">
        <w:rPr>
          <w:rFonts w:ascii="Arial" w:hAnsi="Arial" w:cs="Arial"/>
          <w:color w:val="000000"/>
          <w:sz w:val="22"/>
          <w:szCs w:val="22"/>
        </w:rPr>
        <w:t xml:space="preserve"> </w:t>
      </w:r>
    </w:p>
    <w:p w14:paraId="699C45DD" w14:textId="77777777" w:rsidR="006B5E54" w:rsidRPr="006B5E54" w:rsidRDefault="006B5E54" w:rsidP="00EC4B9A">
      <w:pPr>
        <w:pStyle w:val="NormalWeb"/>
        <w:numPr>
          <w:ilvl w:val="0"/>
          <w:numId w:val="12"/>
        </w:numPr>
        <w:spacing w:after="0" w:afterAutospacing="0" w:line="276" w:lineRule="auto"/>
        <w:jc w:val="both"/>
        <w:rPr>
          <w:rFonts w:ascii="Arial" w:hAnsi="Arial" w:cs="Arial"/>
          <w:color w:val="000000"/>
          <w:sz w:val="22"/>
          <w:szCs w:val="22"/>
        </w:rPr>
      </w:pPr>
      <w:r w:rsidRPr="006B5E54">
        <w:rPr>
          <w:rFonts w:ascii="Arial" w:hAnsi="Arial" w:cs="Arial"/>
          <w:color w:val="000000"/>
          <w:sz w:val="22"/>
          <w:szCs w:val="22"/>
        </w:rPr>
        <w:t>modifying court rooms in a variety of ways to make them more accessible.</w:t>
      </w:r>
    </w:p>
    <w:p w14:paraId="2B312706" w14:textId="77777777" w:rsidR="006B5E54" w:rsidRDefault="006D3BE4" w:rsidP="006B5E54">
      <w:pPr>
        <w:jc w:val="both"/>
        <w:rPr>
          <w:lang w:eastAsia="en-AU"/>
        </w:rPr>
      </w:pPr>
      <w:r>
        <w:rPr>
          <w:lang w:eastAsia="en-AU"/>
        </w:rPr>
        <w:t>Robust legal advocacy is crucial</w:t>
      </w:r>
      <w:r w:rsidR="006B5E54">
        <w:rPr>
          <w:lang w:eastAsia="en-AU"/>
        </w:rPr>
        <w:t xml:space="preserve"> in accessing these procedural supports and accommodations</w:t>
      </w:r>
      <w:r w:rsidR="00793180">
        <w:rPr>
          <w:lang w:eastAsia="en-AU"/>
        </w:rPr>
        <w:t xml:space="preserve">, not only in </w:t>
      </w:r>
      <w:r w:rsidR="00F80469">
        <w:rPr>
          <w:lang w:eastAsia="en-AU"/>
        </w:rPr>
        <w:t xml:space="preserve">executing </w:t>
      </w:r>
      <w:r w:rsidR="00C928FF">
        <w:rPr>
          <w:lang w:eastAsia="en-AU"/>
        </w:rPr>
        <w:t>them, but also ad</w:t>
      </w:r>
      <w:r w:rsidR="00793180">
        <w:rPr>
          <w:lang w:eastAsia="en-AU"/>
        </w:rPr>
        <w:t>vocating for them</w:t>
      </w:r>
      <w:r w:rsidR="00506A80">
        <w:rPr>
          <w:lang w:eastAsia="en-AU"/>
        </w:rPr>
        <w:t>.</w:t>
      </w:r>
    </w:p>
    <w:p w14:paraId="17B2CEB3" w14:textId="77777777" w:rsidR="004110D9" w:rsidRPr="0052709A" w:rsidRDefault="002F60E2" w:rsidP="004110D9">
      <w:pPr>
        <w:rPr>
          <w:b/>
          <w:lang w:eastAsia="en-AU"/>
        </w:rPr>
      </w:pPr>
      <w:r w:rsidRPr="0052709A">
        <w:rPr>
          <w:b/>
          <w:lang w:eastAsia="en-AU"/>
        </w:rPr>
        <w:t>Laws</w:t>
      </w:r>
      <w:r w:rsidR="00C57BAB" w:rsidRPr="0052709A">
        <w:rPr>
          <w:b/>
          <w:lang w:eastAsia="en-AU"/>
        </w:rPr>
        <w:t xml:space="preserve"> in Victoria </w:t>
      </w:r>
    </w:p>
    <w:p w14:paraId="41B06160" w14:textId="77777777" w:rsidR="009B1224" w:rsidRDefault="00C57BAB" w:rsidP="00434F24">
      <w:pPr>
        <w:jc w:val="both"/>
        <w:rPr>
          <w:lang w:eastAsia="en-AU"/>
        </w:rPr>
      </w:pPr>
      <w:r w:rsidRPr="0052709A">
        <w:rPr>
          <w:lang w:eastAsia="en-AU"/>
        </w:rPr>
        <w:t xml:space="preserve">The </w:t>
      </w:r>
      <w:r w:rsidRPr="0052709A">
        <w:rPr>
          <w:i/>
          <w:lang w:eastAsia="en-AU"/>
        </w:rPr>
        <w:t>Charter of Human Rights and Responsibilities Act</w:t>
      </w:r>
      <w:r w:rsidR="0052709A" w:rsidRPr="0052709A">
        <w:rPr>
          <w:i/>
          <w:lang w:eastAsia="en-AU"/>
        </w:rPr>
        <w:t xml:space="preserve"> 2006</w:t>
      </w:r>
      <w:r w:rsidR="0052709A">
        <w:rPr>
          <w:lang w:eastAsia="en-AU"/>
        </w:rPr>
        <w:t xml:space="preserve"> (Vic) (</w:t>
      </w:r>
      <w:r w:rsidR="0052709A" w:rsidRPr="00EC4B9A">
        <w:rPr>
          <w:lang w:eastAsia="en-AU"/>
        </w:rPr>
        <w:t>the</w:t>
      </w:r>
      <w:r w:rsidR="0052709A" w:rsidRPr="0052709A">
        <w:rPr>
          <w:b/>
          <w:lang w:eastAsia="en-AU"/>
        </w:rPr>
        <w:t xml:space="preserve"> Charter</w:t>
      </w:r>
      <w:r w:rsidR="0052709A">
        <w:rPr>
          <w:lang w:eastAsia="en-AU"/>
        </w:rPr>
        <w:t>)</w:t>
      </w:r>
      <w:r w:rsidR="0052709A" w:rsidRPr="0052709A">
        <w:rPr>
          <w:lang w:eastAsia="en-AU"/>
        </w:rPr>
        <w:t xml:space="preserve"> enshrine</w:t>
      </w:r>
      <w:r w:rsidR="0052709A">
        <w:rPr>
          <w:lang w:eastAsia="en-AU"/>
        </w:rPr>
        <w:t>s</w:t>
      </w:r>
      <w:r w:rsidR="0052709A" w:rsidRPr="0052709A">
        <w:rPr>
          <w:lang w:eastAsia="en-AU"/>
        </w:rPr>
        <w:t xml:space="preserve"> the human rights</w:t>
      </w:r>
      <w:r w:rsidR="0052709A">
        <w:rPr>
          <w:lang w:eastAsia="en-AU"/>
        </w:rPr>
        <w:t xml:space="preserve"> of all Victorians, including persons with disabilities. It requires that public authorities</w:t>
      </w:r>
      <w:r w:rsidR="009B1224">
        <w:rPr>
          <w:rStyle w:val="FootnoteReference"/>
          <w:lang w:eastAsia="en-AU"/>
        </w:rPr>
        <w:footnoteReference w:id="60"/>
      </w:r>
      <w:r w:rsidR="0052709A">
        <w:rPr>
          <w:lang w:eastAsia="en-AU"/>
        </w:rPr>
        <w:t xml:space="preserve"> </w:t>
      </w:r>
      <w:r w:rsidR="009B1224">
        <w:rPr>
          <w:lang w:eastAsia="en-AU"/>
        </w:rPr>
        <w:t>give proper consideration to and act consistently with human rights and also that courts and tribunals interpret and apply legislation consistently with human rights.</w:t>
      </w:r>
      <w:r w:rsidR="009B1224">
        <w:rPr>
          <w:rStyle w:val="FootnoteReference"/>
          <w:lang w:eastAsia="en-AU"/>
        </w:rPr>
        <w:footnoteReference w:id="61"/>
      </w:r>
      <w:r w:rsidR="00434F24">
        <w:rPr>
          <w:lang w:eastAsia="en-AU"/>
        </w:rPr>
        <w:t xml:space="preserve"> Relevant rights in the Charter to persons with disabilities include:</w:t>
      </w:r>
    </w:p>
    <w:p w14:paraId="26946A21" w14:textId="77777777" w:rsidR="00434F24" w:rsidRDefault="00434F24" w:rsidP="002D0954">
      <w:pPr>
        <w:pStyle w:val="ListParagraph"/>
        <w:numPr>
          <w:ilvl w:val="0"/>
          <w:numId w:val="14"/>
        </w:numPr>
        <w:jc w:val="both"/>
        <w:rPr>
          <w:lang w:eastAsia="en-AU"/>
        </w:rPr>
      </w:pPr>
      <w:r>
        <w:rPr>
          <w:lang w:eastAsia="en-AU"/>
        </w:rPr>
        <w:t>recognition and equality before the law</w:t>
      </w:r>
      <w:r>
        <w:rPr>
          <w:rStyle w:val="FootnoteReference"/>
          <w:lang w:eastAsia="en-AU"/>
        </w:rPr>
        <w:footnoteReference w:id="62"/>
      </w:r>
    </w:p>
    <w:p w14:paraId="26B84E0E" w14:textId="77777777" w:rsidR="00434F24" w:rsidRDefault="00434F24" w:rsidP="002D0954">
      <w:pPr>
        <w:pStyle w:val="ListParagraph"/>
        <w:numPr>
          <w:ilvl w:val="0"/>
          <w:numId w:val="14"/>
        </w:numPr>
        <w:jc w:val="both"/>
        <w:rPr>
          <w:lang w:eastAsia="en-AU"/>
        </w:rPr>
      </w:pPr>
      <w:r>
        <w:rPr>
          <w:lang w:eastAsia="en-AU"/>
        </w:rPr>
        <w:t>the right not to be subjected to medical or scientific experimentation or treatment without full, free and informed consent</w:t>
      </w:r>
      <w:r>
        <w:rPr>
          <w:rStyle w:val="FootnoteReference"/>
          <w:lang w:eastAsia="en-AU"/>
        </w:rPr>
        <w:footnoteReference w:id="63"/>
      </w:r>
    </w:p>
    <w:p w14:paraId="07972F4E" w14:textId="77777777" w:rsidR="00434F24" w:rsidRDefault="00434F24" w:rsidP="002D0954">
      <w:pPr>
        <w:pStyle w:val="ListParagraph"/>
        <w:numPr>
          <w:ilvl w:val="0"/>
          <w:numId w:val="14"/>
        </w:numPr>
        <w:jc w:val="both"/>
        <w:rPr>
          <w:lang w:eastAsia="en-AU"/>
        </w:rPr>
      </w:pPr>
      <w:r>
        <w:rPr>
          <w:lang w:eastAsia="en-AU"/>
        </w:rPr>
        <w:t>freedom of movement</w:t>
      </w:r>
      <w:r>
        <w:rPr>
          <w:rStyle w:val="FootnoteReference"/>
          <w:lang w:eastAsia="en-AU"/>
        </w:rPr>
        <w:footnoteReference w:id="64"/>
      </w:r>
    </w:p>
    <w:p w14:paraId="4DFE6A00" w14:textId="77777777" w:rsidR="00434F24" w:rsidRDefault="00434F24" w:rsidP="002D0954">
      <w:pPr>
        <w:pStyle w:val="ListParagraph"/>
        <w:numPr>
          <w:ilvl w:val="0"/>
          <w:numId w:val="14"/>
        </w:numPr>
        <w:jc w:val="both"/>
        <w:rPr>
          <w:lang w:eastAsia="en-AU"/>
        </w:rPr>
      </w:pPr>
      <w:r>
        <w:rPr>
          <w:lang w:eastAsia="en-AU"/>
        </w:rPr>
        <w:t>the right to privacy and protection of reputation</w:t>
      </w:r>
      <w:r>
        <w:rPr>
          <w:rStyle w:val="FootnoteReference"/>
          <w:lang w:eastAsia="en-AU"/>
        </w:rPr>
        <w:footnoteReference w:id="65"/>
      </w:r>
    </w:p>
    <w:p w14:paraId="3435515A" w14:textId="77777777" w:rsidR="00434F24" w:rsidRDefault="00434F24" w:rsidP="002D0954">
      <w:pPr>
        <w:pStyle w:val="ListParagraph"/>
        <w:numPr>
          <w:ilvl w:val="0"/>
          <w:numId w:val="14"/>
        </w:numPr>
        <w:jc w:val="both"/>
        <w:rPr>
          <w:lang w:eastAsia="en-AU"/>
        </w:rPr>
      </w:pPr>
      <w:r>
        <w:rPr>
          <w:lang w:eastAsia="en-AU"/>
        </w:rPr>
        <w:t>freedom of thought, conscience, religion and belief</w:t>
      </w:r>
      <w:r>
        <w:rPr>
          <w:rStyle w:val="FootnoteReference"/>
          <w:lang w:eastAsia="en-AU"/>
        </w:rPr>
        <w:footnoteReference w:id="66"/>
      </w:r>
    </w:p>
    <w:p w14:paraId="7C7EAAE1" w14:textId="77777777" w:rsidR="00434F24" w:rsidRDefault="00434F24" w:rsidP="002D0954">
      <w:pPr>
        <w:pStyle w:val="ListParagraph"/>
        <w:numPr>
          <w:ilvl w:val="0"/>
          <w:numId w:val="14"/>
        </w:numPr>
        <w:jc w:val="both"/>
        <w:rPr>
          <w:lang w:eastAsia="en-AU"/>
        </w:rPr>
      </w:pPr>
      <w:r>
        <w:rPr>
          <w:lang w:eastAsia="en-AU"/>
        </w:rPr>
        <w:t>the right to liberty and security of person</w:t>
      </w:r>
      <w:r>
        <w:rPr>
          <w:rStyle w:val="FootnoteReference"/>
          <w:lang w:eastAsia="en-AU"/>
        </w:rPr>
        <w:footnoteReference w:id="67"/>
      </w:r>
    </w:p>
    <w:p w14:paraId="226E7AFE" w14:textId="77777777" w:rsidR="00434F24" w:rsidRDefault="00434F24" w:rsidP="002D0954">
      <w:pPr>
        <w:pStyle w:val="ListParagraph"/>
        <w:numPr>
          <w:ilvl w:val="0"/>
          <w:numId w:val="14"/>
        </w:numPr>
        <w:jc w:val="both"/>
        <w:rPr>
          <w:lang w:eastAsia="en-AU"/>
        </w:rPr>
      </w:pPr>
      <w:r>
        <w:rPr>
          <w:lang w:eastAsia="en-AU"/>
        </w:rPr>
        <w:t>the right to humane treatment when deprived of liberty</w:t>
      </w:r>
      <w:r>
        <w:rPr>
          <w:rStyle w:val="FootnoteReference"/>
          <w:lang w:eastAsia="en-AU"/>
        </w:rPr>
        <w:footnoteReference w:id="68"/>
      </w:r>
      <w:r>
        <w:rPr>
          <w:lang w:eastAsia="en-AU"/>
        </w:rPr>
        <w:t xml:space="preserve"> </w:t>
      </w:r>
    </w:p>
    <w:p w14:paraId="0371227E" w14:textId="77777777" w:rsidR="00B34A37" w:rsidRDefault="00434F24" w:rsidP="002D0954">
      <w:pPr>
        <w:pStyle w:val="ListParagraph"/>
        <w:numPr>
          <w:ilvl w:val="0"/>
          <w:numId w:val="14"/>
        </w:numPr>
        <w:jc w:val="both"/>
        <w:rPr>
          <w:lang w:eastAsia="en-AU"/>
        </w:rPr>
      </w:pPr>
      <w:r>
        <w:rPr>
          <w:lang w:eastAsia="en-AU"/>
        </w:rPr>
        <w:t>the right to a fair hearing</w:t>
      </w:r>
      <w:r w:rsidR="00B34A37">
        <w:rPr>
          <w:lang w:eastAsia="en-AU"/>
        </w:rPr>
        <w:t>.</w:t>
      </w:r>
      <w:r>
        <w:rPr>
          <w:rStyle w:val="FootnoteReference"/>
          <w:lang w:eastAsia="en-AU"/>
        </w:rPr>
        <w:footnoteReference w:id="69"/>
      </w:r>
    </w:p>
    <w:p w14:paraId="2644E270" w14:textId="77777777" w:rsidR="00CE78BA" w:rsidRPr="00BA5712" w:rsidRDefault="00CE78BA" w:rsidP="00CE78BA">
      <w:pPr>
        <w:jc w:val="both"/>
        <w:rPr>
          <w:b/>
          <w:highlight w:val="yellow"/>
          <w:lang w:eastAsia="en-AU"/>
        </w:rPr>
      </w:pPr>
      <w:r w:rsidRPr="00662D62">
        <w:rPr>
          <w:b/>
          <w:lang w:eastAsia="en-AU"/>
        </w:rPr>
        <w:t>Right to Legal Assistance</w:t>
      </w:r>
      <w:r w:rsidR="00662D62" w:rsidRPr="00662D62">
        <w:rPr>
          <w:b/>
          <w:lang w:eastAsia="en-AU"/>
        </w:rPr>
        <w:t xml:space="preserve"> in Victoria</w:t>
      </w:r>
    </w:p>
    <w:p w14:paraId="5E4DEAD2" w14:textId="6B56E4B2" w:rsidR="00C8675A" w:rsidRDefault="00C8675A" w:rsidP="00C8675A">
      <w:pPr>
        <w:jc w:val="both"/>
        <w:rPr>
          <w:lang w:eastAsia="en-AU"/>
        </w:rPr>
      </w:pPr>
      <w:r>
        <w:rPr>
          <w:lang w:eastAsia="en-AU"/>
        </w:rPr>
        <w:t>The idea of a right to legal assistance as a component of a fair hearing is relatively new</w:t>
      </w:r>
      <w:r>
        <w:rPr>
          <w:rStyle w:val="FootnoteReference"/>
          <w:lang w:eastAsia="en-AU"/>
        </w:rPr>
        <w:footnoteReference w:id="70"/>
      </w:r>
      <w:r>
        <w:rPr>
          <w:lang w:eastAsia="en-AU"/>
        </w:rPr>
        <w:t xml:space="preserve"> and can be construed either </w:t>
      </w:r>
      <w:r w:rsidR="00CF6F96">
        <w:rPr>
          <w:lang w:eastAsia="en-AU"/>
        </w:rPr>
        <w:t>in</w:t>
      </w:r>
      <w:r>
        <w:rPr>
          <w:lang w:eastAsia="en-AU"/>
        </w:rPr>
        <w:t xml:space="preserve"> a negative or positive sense</w:t>
      </w:r>
      <w:r w:rsidR="0099407D">
        <w:rPr>
          <w:lang w:eastAsia="en-AU"/>
        </w:rPr>
        <w:t>.  For example, it may be characterised (in the negative sense) as a restriction</w:t>
      </w:r>
      <w:r>
        <w:rPr>
          <w:lang w:eastAsia="en-AU"/>
        </w:rPr>
        <w:t xml:space="preserve"> on preventing access t</w:t>
      </w:r>
      <w:r w:rsidR="00CF6F96">
        <w:rPr>
          <w:lang w:eastAsia="en-AU"/>
        </w:rPr>
        <w:t>o a lawyer</w:t>
      </w:r>
      <w:r w:rsidR="0099407D">
        <w:rPr>
          <w:lang w:eastAsia="en-AU"/>
        </w:rPr>
        <w:t xml:space="preserve">.  Alternatively, it may be characterised </w:t>
      </w:r>
      <w:r w:rsidR="00CF6F96">
        <w:rPr>
          <w:lang w:eastAsia="en-AU"/>
        </w:rPr>
        <w:t>a</w:t>
      </w:r>
      <w:r w:rsidR="0099407D">
        <w:rPr>
          <w:lang w:eastAsia="en-AU"/>
        </w:rPr>
        <w:t xml:space="preserve">s </w:t>
      </w:r>
      <w:r w:rsidR="0099407D">
        <w:rPr>
          <w:lang w:eastAsia="en-AU"/>
        </w:rPr>
        <w:lastRenderedPageBreak/>
        <w:t xml:space="preserve">imposing a </w:t>
      </w:r>
      <w:r w:rsidR="00CF6F96">
        <w:rPr>
          <w:lang w:eastAsia="en-AU"/>
        </w:rPr>
        <w:t xml:space="preserve">positive </w:t>
      </w:r>
      <w:r>
        <w:rPr>
          <w:lang w:eastAsia="en-AU"/>
        </w:rPr>
        <w:t>obligation on the government to provide a lawyer at the government’s expense.</w:t>
      </w:r>
      <w:r>
        <w:rPr>
          <w:rStyle w:val="FootnoteReference"/>
          <w:lang w:eastAsia="en-AU"/>
        </w:rPr>
        <w:footnoteReference w:id="71"/>
      </w:r>
      <w:r>
        <w:rPr>
          <w:lang w:eastAsia="en-AU"/>
        </w:rPr>
        <w:t xml:space="preserve"> </w:t>
      </w:r>
      <w:r w:rsidR="009D4E64">
        <w:rPr>
          <w:lang w:eastAsia="en-AU"/>
        </w:rPr>
        <w:t>I</w:t>
      </w:r>
      <w:r>
        <w:rPr>
          <w:lang w:eastAsia="en-AU"/>
        </w:rPr>
        <w:t>n Australia, the right to a fair trial may in some circumstances require legal representation.</w:t>
      </w:r>
      <w:r>
        <w:rPr>
          <w:rStyle w:val="FootnoteReference"/>
          <w:lang w:eastAsia="en-AU"/>
        </w:rPr>
        <w:footnoteReference w:id="72"/>
      </w:r>
      <w:r>
        <w:rPr>
          <w:lang w:eastAsia="en-AU"/>
        </w:rPr>
        <w:t xml:space="preserve"> Those accused of serious offences (attracting lengthy sentences) only proceed without representation in exceptional cases. </w:t>
      </w:r>
      <w:r w:rsidR="009D4E64">
        <w:rPr>
          <w:lang w:eastAsia="en-AU"/>
        </w:rPr>
        <w:t xml:space="preserve">By contrast, a right to representation in hearings under the MHA or other hearings that have a significant impact on </w:t>
      </w:r>
      <w:r w:rsidR="001D5A3A">
        <w:rPr>
          <w:lang w:eastAsia="en-AU"/>
        </w:rPr>
        <w:t xml:space="preserve">the </w:t>
      </w:r>
      <w:r w:rsidR="009D4E64">
        <w:rPr>
          <w:lang w:eastAsia="en-AU"/>
        </w:rPr>
        <w:t xml:space="preserve">human rights of </w:t>
      </w:r>
      <w:r w:rsidR="001D5A3A">
        <w:rPr>
          <w:lang w:eastAsia="en-AU"/>
        </w:rPr>
        <w:t xml:space="preserve">a </w:t>
      </w:r>
      <w:r w:rsidR="009D4E64">
        <w:rPr>
          <w:lang w:eastAsia="en-AU"/>
        </w:rPr>
        <w:t>person</w:t>
      </w:r>
      <w:r w:rsidR="001D5A3A">
        <w:rPr>
          <w:lang w:eastAsia="en-AU"/>
        </w:rPr>
        <w:t xml:space="preserve"> with a</w:t>
      </w:r>
      <w:r w:rsidR="009D4E64">
        <w:rPr>
          <w:lang w:eastAsia="en-AU"/>
        </w:rPr>
        <w:t xml:space="preserve"> disability has not yet developed in Victoria.  </w:t>
      </w:r>
    </w:p>
    <w:p w14:paraId="6E36552D" w14:textId="77777777" w:rsidR="00CE78BA" w:rsidRDefault="00CE78BA" w:rsidP="00186ACB">
      <w:pPr>
        <w:jc w:val="both"/>
        <w:rPr>
          <w:lang w:eastAsia="en-AU"/>
        </w:rPr>
      </w:pPr>
      <w:r>
        <w:rPr>
          <w:lang w:eastAsia="en-AU"/>
        </w:rPr>
        <w:t xml:space="preserve">In a recent </w:t>
      </w:r>
      <w:r w:rsidR="0099407D">
        <w:rPr>
          <w:lang w:eastAsia="en-AU"/>
        </w:rPr>
        <w:t xml:space="preserve">Victorian </w:t>
      </w:r>
      <w:r>
        <w:rPr>
          <w:lang w:eastAsia="en-AU"/>
        </w:rPr>
        <w:t>case,</w:t>
      </w:r>
      <w:r>
        <w:rPr>
          <w:rStyle w:val="FootnoteReference"/>
          <w:lang w:eastAsia="en-AU"/>
        </w:rPr>
        <w:footnoteReference w:id="73"/>
      </w:r>
      <w:r>
        <w:rPr>
          <w:lang w:eastAsia="en-AU"/>
        </w:rPr>
        <w:t xml:space="preserve"> the </w:t>
      </w:r>
      <w:r w:rsidR="00186ACB">
        <w:rPr>
          <w:lang w:eastAsia="en-AU"/>
        </w:rPr>
        <w:t xml:space="preserve">Victorian Supreme </w:t>
      </w:r>
      <w:r w:rsidR="0099407D">
        <w:rPr>
          <w:lang w:eastAsia="en-AU"/>
        </w:rPr>
        <w:t>Court held that a</w:t>
      </w:r>
      <w:r w:rsidR="00662D62">
        <w:rPr>
          <w:lang w:eastAsia="en-AU"/>
        </w:rPr>
        <w:t xml:space="preserve"> lack of procedural accommodations and supports</w:t>
      </w:r>
      <w:r>
        <w:rPr>
          <w:lang w:eastAsia="en-AU"/>
        </w:rPr>
        <w:t xml:space="preserve"> in the legal system </w:t>
      </w:r>
      <w:r w:rsidR="0099407D">
        <w:rPr>
          <w:lang w:eastAsia="en-AU"/>
        </w:rPr>
        <w:t>was a breach of the Charter</w:t>
      </w:r>
      <w:r w:rsidR="00662D62">
        <w:rPr>
          <w:lang w:eastAsia="en-AU"/>
        </w:rPr>
        <w:t>. The applicant was a person with a disability who was self-represented</w:t>
      </w:r>
      <w:r w:rsidR="00161406">
        <w:rPr>
          <w:lang w:eastAsia="en-AU"/>
        </w:rPr>
        <w:t xml:space="preserve">. </w:t>
      </w:r>
      <w:r w:rsidR="0099407D">
        <w:rPr>
          <w:lang w:eastAsia="en-AU"/>
        </w:rPr>
        <w:t>The Court held that, in light of the applicant’s circumstances, t</w:t>
      </w:r>
      <w:r w:rsidR="00662D62">
        <w:rPr>
          <w:lang w:eastAsia="en-AU"/>
        </w:rPr>
        <w:t>he failure of the judge to ensure she was treated equally and effectively protected against discrimination by reas</w:t>
      </w:r>
      <w:r w:rsidR="00161406">
        <w:rPr>
          <w:lang w:eastAsia="en-AU"/>
        </w:rPr>
        <w:t xml:space="preserve">on of her disability </w:t>
      </w:r>
      <w:r w:rsidR="0099407D">
        <w:rPr>
          <w:lang w:eastAsia="en-AU"/>
        </w:rPr>
        <w:t>(</w:t>
      </w:r>
      <w:r w:rsidR="00161406">
        <w:rPr>
          <w:lang w:eastAsia="en-AU"/>
        </w:rPr>
        <w:t xml:space="preserve">through </w:t>
      </w:r>
      <w:r w:rsidR="00662D62">
        <w:rPr>
          <w:lang w:eastAsia="en-AU"/>
        </w:rPr>
        <w:t>making adjustments and accommodations to procedures</w:t>
      </w:r>
      <w:r w:rsidR="0099407D">
        <w:rPr>
          <w:lang w:eastAsia="en-AU"/>
        </w:rPr>
        <w:t>)</w:t>
      </w:r>
      <w:r w:rsidR="00662D62">
        <w:rPr>
          <w:lang w:eastAsia="en-AU"/>
        </w:rPr>
        <w:t xml:space="preserve"> was a violation of his obligation under s 8(3) of the Charter. </w:t>
      </w:r>
      <w:r>
        <w:rPr>
          <w:lang w:eastAsia="en-AU"/>
        </w:rPr>
        <w:t xml:space="preserve">Justice Bell noted that </w:t>
      </w:r>
      <w:r w:rsidR="00662D62">
        <w:rPr>
          <w:lang w:eastAsia="en-AU"/>
        </w:rPr>
        <w:t>the claimant’s inability to effectively participate was substantially due to the judge’s failure and constituted discrimination</w:t>
      </w:r>
      <w:r w:rsidR="00606081">
        <w:rPr>
          <w:lang w:eastAsia="en-AU"/>
        </w:rPr>
        <w:t xml:space="preserve"> and denied the right to a fair hearing under s 24(1)</w:t>
      </w:r>
      <w:r w:rsidR="00662D62">
        <w:rPr>
          <w:lang w:eastAsia="en-AU"/>
        </w:rPr>
        <w:t>.</w:t>
      </w:r>
      <w:r w:rsidR="00186ACB">
        <w:rPr>
          <w:lang w:eastAsia="en-AU"/>
        </w:rPr>
        <w:t xml:space="preserve">  In addition, in this case, the Court also referred to the </w:t>
      </w:r>
      <w:r w:rsidR="00C50B6B">
        <w:rPr>
          <w:lang w:eastAsia="en-AU"/>
        </w:rPr>
        <w:t xml:space="preserve">legal </w:t>
      </w:r>
      <w:r w:rsidR="00606081">
        <w:rPr>
          <w:lang w:eastAsia="en-AU"/>
        </w:rPr>
        <w:t xml:space="preserve">principle of equality of arms and </w:t>
      </w:r>
      <w:r w:rsidR="00C50B6B">
        <w:rPr>
          <w:lang w:eastAsia="en-AU"/>
        </w:rPr>
        <w:t>the CRPD principle of</w:t>
      </w:r>
      <w:r w:rsidR="00606081">
        <w:rPr>
          <w:lang w:eastAsia="en-AU"/>
        </w:rPr>
        <w:t xml:space="preserve"> effective participation in the proceedings.</w:t>
      </w:r>
      <w:r w:rsidR="00753410">
        <w:rPr>
          <w:lang w:eastAsia="en-AU"/>
        </w:rPr>
        <w:t xml:space="preserve"> </w:t>
      </w:r>
    </w:p>
    <w:p w14:paraId="356E85DA" w14:textId="77777777" w:rsidR="00753410" w:rsidRDefault="00753410" w:rsidP="00606081">
      <w:pPr>
        <w:jc w:val="both"/>
        <w:rPr>
          <w:lang w:eastAsia="en-AU"/>
        </w:rPr>
      </w:pPr>
      <w:r>
        <w:rPr>
          <w:lang w:eastAsia="en-AU"/>
        </w:rPr>
        <w:t xml:space="preserve">This judgement demonstrates not only the importance of accommodations and supports in a fair hearing and under Victorian law, but also identifies </w:t>
      </w:r>
      <w:r w:rsidR="00241FD0">
        <w:rPr>
          <w:lang w:eastAsia="en-AU"/>
        </w:rPr>
        <w:t>that</w:t>
      </w:r>
      <w:r>
        <w:rPr>
          <w:lang w:eastAsia="en-AU"/>
        </w:rPr>
        <w:t xml:space="preserve"> persons with disabilities who are unrepresented face significant barriers to accessing justice.</w:t>
      </w:r>
    </w:p>
    <w:p w14:paraId="6C11C240" w14:textId="77777777" w:rsidR="00F12356" w:rsidRPr="00752672" w:rsidRDefault="00752672" w:rsidP="00606081">
      <w:pPr>
        <w:jc w:val="both"/>
        <w:rPr>
          <w:b/>
          <w:lang w:eastAsia="en-AU"/>
        </w:rPr>
      </w:pPr>
      <w:r>
        <w:rPr>
          <w:b/>
          <w:lang w:eastAsia="en-AU"/>
        </w:rPr>
        <w:t>Resourcing L</w:t>
      </w:r>
      <w:r w:rsidR="00F12356" w:rsidRPr="00752672">
        <w:rPr>
          <w:b/>
          <w:lang w:eastAsia="en-AU"/>
        </w:rPr>
        <w:t xml:space="preserve">egal </w:t>
      </w:r>
      <w:r>
        <w:rPr>
          <w:b/>
          <w:lang w:eastAsia="en-AU"/>
        </w:rPr>
        <w:t>A</w:t>
      </w:r>
      <w:r w:rsidR="00F12356" w:rsidRPr="00752672">
        <w:rPr>
          <w:b/>
          <w:lang w:eastAsia="en-AU"/>
        </w:rPr>
        <w:t>ssistance</w:t>
      </w:r>
    </w:p>
    <w:p w14:paraId="00560B16" w14:textId="77777777" w:rsidR="00861165" w:rsidRDefault="00186ACB" w:rsidP="00861165">
      <w:pPr>
        <w:jc w:val="both"/>
        <w:rPr>
          <w:lang w:eastAsia="en-AU"/>
        </w:rPr>
      </w:pPr>
      <w:r>
        <w:rPr>
          <w:lang w:eastAsia="en-AU"/>
        </w:rPr>
        <w:t>T</w:t>
      </w:r>
      <w:r w:rsidR="00861165">
        <w:rPr>
          <w:lang w:eastAsia="en-AU"/>
        </w:rPr>
        <w:t>he</w:t>
      </w:r>
      <w:r w:rsidR="00861165" w:rsidRPr="00A65580">
        <w:rPr>
          <w:lang w:eastAsia="en-AU"/>
        </w:rPr>
        <w:t xml:space="preserve"> Law Council </w:t>
      </w:r>
      <w:r w:rsidR="00861165">
        <w:rPr>
          <w:lang w:eastAsia="en-AU"/>
        </w:rPr>
        <w:t>has stated that</w:t>
      </w:r>
      <w:r w:rsidR="00861165" w:rsidRPr="00A65580">
        <w:rPr>
          <w:lang w:eastAsia="en-AU"/>
        </w:rPr>
        <w:t xml:space="preserve"> ‘the right to a fair trial and effective access to justice is undermined by a failure of successive governments to commit sufficient resources to support legal assistance services, as evidenced by increasingly stringent restrictions on eligibility for legal aid’</w:t>
      </w:r>
      <w:r w:rsidR="00861165">
        <w:rPr>
          <w:lang w:eastAsia="en-AU"/>
        </w:rPr>
        <w:t>.</w:t>
      </w:r>
      <w:r w:rsidR="00861165">
        <w:rPr>
          <w:rStyle w:val="FootnoteReference"/>
          <w:lang w:eastAsia="en-AU"/>
        </w:rPr>
        <w:footnoteReference w:id="74"/>
      </w:r>
      <w:r w:rsidR="00861165">
        <w:rPr>
          <w:lang w:eastAsia="en-AU"/>
        </w:rPr>
        <w:t xml:space="preserve"> </w:t>
      </w:r>
    </w:p>
    <w:p w14:paraId="7FF40BF4" w14:textId="77777777" w:rsidR="0082078F" w:rsidRPr="0082078F" w:rsidRDefault="0082078F" w:rsidP="00F12356">
      <w:pPr>
        <w:jc w:val="both"/>
        <w:rPr>
          <w:i/>
          <w:lang w:eastAsia="en-AU"/>
        </w:rPr>
      </w:pPr>
      <w:r>
        <w:rPr>
          <w:i/>
          <w:lang w:eastAsia="en-AU"/>
        </w:rPr>
        <w:t>Legal Aid funding in Victoria</w:t>
      </w:r>
    </w:p>
    <w:p w14:paraId="507B7BFD" w14:textId="3DEAC2A3" w:rsidR="00F12356" w:rsidRDefault="00861165" w:rsidP="00D76EB7">
      <w:pPr>
        <w:jc w:val="both"/>
        <w:rPr>
          <w:lang w:eastAsia="en-AU"/>
        </w:rPr>
      </w:pPr>
      <w:r>
        <w:rPr>
          <w:lang w:eastAsia="en-AU"/>
        </w:rPr>
        <w:t>The Access</w:t>
      </w:r>
      <w:r w:rsidR="00E4602F">
        <w:rPr>
          <w:lang w:eastAsia="en-AU"/>
        </w:rPr>
        <w:t xml:space="preserve"> to Justice Review undertaken in Victoria </w:t>
      </w:r>
      <w:r w:rsidR="00186ACB">
        <w:rPr>
          <w:lang w:eastAsia="en-AU"/>
        </w:rPr>
        <w:t>during 2015-</w:t>
      </w:r>
      <w:r w:rsidR="00E4602F">
        <w:rPr>
          <w:lang w:eastAsia="en-AU"/>
        </w:rPr>
        <w:t>2016</w:t>
      </w:r>
      <w:r>
        <w:rPr>
          <w:lang w:eastAsia="en-AU"/>
        </w:rPr>
        <w:t xml:space="preserve"> recommended a funding boost for VLA to ensure that those most in need could access legal assistance.</w:t>
      </w:r>
      <w:r w:rsidR="00186ACB">
        <w:rPr>
          <w:rStyle w:val="FootnoteReference"/>
          <w:lang w:eastAsia="en-AU"/>
        </w:rPr>
        <w:footnoteReference w:id="75"/>
      </w:r>
      <w:r>
        <w:rPr>
          <w:lang w:eastAsia="en-AU"/>
        </w:rPr>
        <w:t xml:space="preserve"> </w:t>
      </w:r>
      <w:r w:rsidR="00C46025">
        <w:rPr>
          <w:lang w:eastAsia="en-AU"/>
        </w:rPr>
        <w:t>This follows a similar recommendation about the need for greater resourcing of legal assistance from the Productivity Commission in 2014.</w:t>
      </w:r>
      <w:r w:rsidR="00C46025">
        <w:rPr>
          <w:rStyle w:val="FootnoteReference"/>
          <w:lang w:eastAsia="en-AU"/>
        </w:rPr>
        <w:footnoteReference w:id="76"/>
      </w:r>
      <w:r w:rsidR="00C46025">
        <w:rPr>
          <w:lang w:eastAsia="en-AU"/>
        </w:rPr>
        <w:t xml:space="preserve"> </w:t>
      </w:r>
      <w:r>
        <w:rPr>
          <w:lang w:eastAsia="en-AU"/>
        </w:rPr>
        <w:t>Implementation of the</w:t>
      </w:r>
      <w:r w:rsidR="004324A4">
        <w:rPr>
          <w:lang w:eastAsia="en-AU"/>
        </w:rPr>
        <w:t>se recommendations</w:t>
      </w:r>
      <w:r w:rsidR="000A4623">
        <w:rPr>
          <w:lang w:eastAsia="en-AU"/>
        </w:rPr>
        <w:t xml:space="preserve"> </w:t>
      </w:r>
      <w:r>
        <w:rPr>
          <w:lang w:eastAsia="en-AU"/>
        </w:rPr>
        <w:t xml:space="preserve">is essential </w:t>
      </w:r>
      <w:r w:rsidR="00C455DA">
        <w:rPr>
          <w:lang w:eastAsia="en-AU"/>
        </w:rPr>
        <w:t>to enable</w:t>
      </w:r>
      <w:r>
        <w:rPr>
          <w:lang w:eastAsia="en-AU"/>
        </w:rPr>
        <w:t xml:space="preserve"> VLA to continue our work in providing legal assistance to</w:t>
      </w:r>
      <w:r w:rsidR="00C455DA">
        <w:rPr>
          <w:lang w:eastAsia="en-AU"/>
        </w:rPr>
        <w:t xml:space="preserve"> those most vulnerable and to allow</w:t>
      </w:r>
      <w:r>
        <w:rPr>
          <w:lang w:eastAsia="en-AU"/>
        </w:rPr>
        <w:t xml:space="preserve"> us to expand </w:t>
      </w:r>
      <w:r w:rsidR="00C455DA">
        <w:rPr>
          <w:lang w:eastAsia="en-AU"/>
        </w:rPr>
        <w:t xml:space="preserve">our services </w:t>
      </w:r>
      <w:r>
        <w:rPr>
          <w:lang w:eastAsia="en-AU"/>
        </w:rPr>
        <w:t>to address the</w:t>
      </w:r>
      <w:r w:rsidR="00C455DA">
        <w:rPr>
          <w:lang w:eastAsia="en-AU"/>
        </w:rPr>
        <w:t xml:space="preserve"> </w:t>
      </w:r>
      <w:r w:rsidR="00186ACB">
        <w:rPr>
          <w:lang w:eastAsia="en-AU"/>
        </w:rPr>
        <w:t xml:space="preserve">large </w:t>
      </w:r>
      <w:r>
        <w:rPr>
          <w:lang w:eastAsia="en-AU"/>
        </w:rPr>
        <w:t>un</w:t>
      </w:r>
      <w:r w:rsidR="0082078F">
        <w:rPr>
          <w:lang w:eastAsia="en-AU"/>
        </w:rPr>
        <w:t>met legal need in our community, particularly for those with disabilities.</w:t>
      </w:r>
    </w:p>
    <w:p w14:paraId="2C5073CD" w14:textId="77777777" w:rsidR="009815F2" w:rsidRDefault="009815F2" w:rsidP="00D76EB7">
      <w:pPr>
        <w:jc w:val="both"/>
        <w:rPr>
          <w:lang w:eastAsia="en-AU"/>
        </w:rPr>
      </w:pPr>
    </w:p>
    <w:p w14:paraId="25773F9D" w14:textId="77777777" w:rsidR="009815F2" w:rsidRDefault="009815F2" w:rsidP="00D76EB7">
      <w:pPr>
        <w:jc w:val="both"/>
        <w:rPr>
          <w:lang w:eastAsia="en-AU"/>
        </w:rPr>
      </w:pPr>
    </w:p>
    <w:p w14:paraId="6AD03017" w14:textId="77777777" w:rsidR="00F80469" w:rsidRDefault="00F80469">
      <w:pPr>
        <w:spacing w:after="0" w:line="240" w:lineRule="auto"/>
        <w:rPr>
          <w:rFonts w:cs="Arial"/>
          <w:b/>
          <w:bCs/>
          <w:color w:val="971A4B"/>
          <w:kern w:val="32"/>
          <w:sz w:val="32"/>
          <w:szCs w:val="32"/>
          <w:lang w:eastAsia="en-AU"/>
        </w:rPr>
      </w:pPr>
      <w:r>
        <w:br w:type="page"/>
      </w:r>
    </w:p>
    <w:p w14:paraId="4FD1DC30" w14:textId="77777777" w:rsidR="007825F3" w:rsidRDefault="00B42C4A" w:rsidP="0005125F">
      <w:pPr>
        <w:pStyle w:val="Heading1"/>
      </w:pPr>
      <w:bookmarkStart w:id="11" w:name="_Toc482020691"/>
      <w:r>
        <w:lastRenderedPageBreak/>
        <w:t>Conclu</w:t>
      </w:r>
      <w:r w:rsidR="00F80469">
        <w:t>sion</w:t>
      </w:r>
      <w:bookmarkEnd w:id="11"/>
    </w:p>
    <w:p w14:paraId="40F904C4" w14:textId="77777777" w:rsidR="00A47F0D" w:rsidRDefault="00A47F0D" w:rsidP="00A47F0D">
      <w:pPr>
        <w:jc w:val="both"/>
        <w:rPr>
          <w:lang w:eastAsia="en-AU"/>
        </w:rPr>
      </w:pPr>
      <w:r>
        <w:rPr>
          <w:lang w:eastAsia="en-AU"/>
        </w:rPr>
        <w:t xml:space="preserve">In our practice experience, </w:t>
      </w:r>
      <w:r w:rsidR="0047443E">
        <w:rPr>
          <w:lang w:eastAsia="en-AU"/>
        </w:rPr>
        <w:t>persons with disabilities are disproportionately impacted by lack of adequately resourced legal aid due to</w:t>
      </w:r>
      <w:r>
        <w:rPr>
          <w:lang w:eastAsia="en-AU"/>
        </w:rPr>
        <w:t xml:space="preserve"> numerous intersecting barriers</w:t>
      </w:r>
      <w:r w:rsidR="0047443E">
        <w:rPr>
          <w:lang w:eastAsia="en-AU"/>
        </w:rPr>
        <w:t xml:space="preserve"> in accessing</w:t>
      </w:r>
      <w:r>
        <w:rPr>
          <w:lang w:eastAsia="en-AU"/>
        </w:rPr>
        <w:t xml:space="preserve"> justice for persons including:</w:t>
      </w:r>
    </w:p>
    <w:p w14:paraId="2C389930" w14:textId="77777777" w:rsidR="00A47F0D" w:rsidRDefault="00A47F0D" w:rsidP="002D0954">
      <w:pPr>
        <w:pStyle w:val="ListParagraph"/>
        <w:numPr>
          <w:ilvl w:val="0"/>
          <w:numId w:val="10"/>
        </w:numPr>
        <w:jc w:val="both"/>
        <w:rPr>
          <w:lang w:eastAsia="en-AU"/>
        </w:rPr>
      </w:pPr>
      <w:r>
        <w:rPr>
          <w:lang w:eastAsia="en-AU"/>
        </w:rPr>
        <w:t>lack of procedural and age-appropriate accommodations (and those that account for intersectional identity such as women with disabilities)</w:t>
      </w:r>
      <w:r>
        <w:rPr>
          <w:rStyle w:val="FootnoteReference"/>
          <w:lang w:eastAsia="en-AU"/>
        </w:rPr>
        <w:footnoteReference w:id="77"/>
      </w:r>
      <w:r>
        <w:rPr>
          <w:lang w:eastAsia="en-AU"/>
        </w:rPr>
        <w:t xml:space="preserve"> </w:t>
      </w:r>
    </w:p>
    <w:p w14:paraId="125992F1" w14:textId="77777777" w:rsidR="00A47F0D" w:rsidRDefault="00A47F0D" w:rsidP="002D0954">
      <w:pPr>
        <w:pStyle w:val="ListParagraph"/>
        <w:numPr>
          <w:ilvl w:val="0"/>
          <w:numId w:val="10"/>
        </w:numPr>
        <w:jc w:val="both"/>
        <w:rPr>
          <w:lang w:eastAsia="en-AU"/>
        </w:rPr>
      </w:pPr>
      <w:r>
        <w:rPr>
          <w:lang w:eastAsia="en-AU"/>
        </w:rPr>
        <w:t>lack of financial and other resources</w:t>
      </w:r>
    </w:p>
    <w:p w14:paraId="1166EC7D" w14:textId="77777777" w:rsidR="00A47F0D" w:rsidRDefault="00A47F0D" w:rsidP="002D0954">
      <w:pPr>
        <w:pStyle w:val="ListParagraph"/>
        <w:numPr>
          <w:ilvl w:val="0"/>
          <w:numId w:val="10"/>
        </w:numPr>
        <w:jc w:val="both"/>
        <w:rPr>
          <w:lang w:eastAsia="en-AU"/>
        </w:rPr>
      </w:pPr>
      <w:r>
        <w:rPr>
          <w:lang w:eastAsia="en-AU"/>
        </w:rPr>
        <w:t xml:space="preserve">decision-makers viewing persons with disabilities as unreliable decision-makers or unreliable witnesses to their own experiences </w:t>
      </w:r>
    </w:p>
    <w:p w14:paraId="348B2F15" w14:textId="77777777" w:rsidR="00A47F0D" w:rsidRDefault="00A47F0D" w:rsidP="002D0954">
      <w:pPr>
        <w:pStyle w:val="ListParagraph"/>
        <w:numPr>
          <w:ilvl w:val="0"/>
          <w:numId w:val="10"/>
        </w:numPr>
        <w:jc w:val="both"/>
        <w:rPr>
          <w:lang w:eastAsia="en-AU"/>
        </w:rPr>
      </w:pPr>
      <w:r>
        <w:rPr>
          <w:lang w:eastAsia="en-AU"/>
        </w:rPr>
        <w:t>difficulty articulating their concerns or voice in a manner convincing to a court or tribunal</w:t>
      </w:r>
    </w:p>
    <w:p w14:paraId="5A9A10E5" w14:textId="77777777" w:rsidR="00A47F0D" w:rsidRDefault="00A47F0D" w:rsidP="002D0954">
      <w:pPr>
        <w:pStyle w:val="ListParagraph"/>
        <w:numPr>
          <w:ilvl w:val="0"/>
          <w:numId w:val="10"/>
        </w:numPr>
        <w:jc w:val="both"/>
        <w:rPr>
          <w:lang w:eastAsia="en-AU"/>
        </w:rPr>
      </w:pPr>
      <w:r>
        <w:rPr>
          <w:lang w:eastAsia="en-AU"/>
        </w:rPr>
        <w:t>difficulty understanding the jargon of the legal processes that affect them as insufficient efforts have been made to include them or communicate with them</w:t>
      </w:r>
    </w:p>
    <w:p w14:paraId="6386F9FB" w14:textId="77777777" w:rsidR="00A47F0D" w:rsidRDefault="00A47F0D" w:rsidP="002D0954">
      <w:pPr>
        <w:pStyle w:val="ListParagraph"/>
        <w:numPr>
          <w:ilvl w:val="0"/>
          <w:numId w:val="10"/>
        </w:numPr>
        <w:jc w:val="both"/>
        <w:rPr>
          <w:lang w:eastAsia="en-AU"/>
        </w:rPr>
      </w:pPr>
      <w:r>
        <w:rPr>
          <w:lang w:eastAsia="en-AU"/>
        </w:rPr>
        <w:t>inability to access lawyers in inpatient settings</w:t>
      </w:r>
    </w:p>
    <w:p w14:paraId="4C30F563" w14:textId="77777777" w:rsidR="00A47F0D" w:rsidRDefault="00A47F0D" w:rsidP="002D0954">
      <w:pPr>
        <w:pStyle w:val="ListParagraph"/>
        <w:numPr>
          <w:ilvl w:val="0"/>
          <w:numId w:val="10"/>
        </w:numPr>
        <w:jc w:val="both"/>
        <w:rPr>
          <w:lang w:eastAsia="en-AU"/>
        </w:rPr>
      </w:pPr>
      <w:r>
        <w:rPr>
          <w:lang w:eastAsia="en-AU"/>
        </w:rPr>
        <w:t>communication challenges when instructing counsel</w:t>
      </w:r>
    </w:p>
    <w:p w14:paraId="0D42C3B0" w14:textId="77777777" w:rsidR="00A47F0D" w:rsidRDefault="00A47F0D" w:rsidP="002D0954">
      <w:pPr>
        <w:pStyle w:val="ListParagraph"/>
        <w:numPr>
          <w:ilvl w:val="0"/>
          <w:numId w:val="10"/>
        </w:numPr>
        <w:jc w:val="both"/>
        <w:rPr>
          <w:lang w:eastAsia="en-AU"/>
        </w:rPr>
      </w:pPr>
      <w:r>
        <w:rPr>
          <w:lang w:eastAsia="en-AU"/>
        </w:rPr>
        <w:t>institutionalisation that promotes compliance rather than empowering persons with disabilities to have a voice in decisions that affect their lives.</w:t>
      </w:r>
    </w:p>
    <w:p w14:paraId="5559FFEB" w14:textId="77777777" w:rsidR="00A47F0D" w:rsidRDefault="00A47F0D" w:rsidP="00A47F0D">
      <w:pPr>
        <w:jc w:val="both"/>
        <w:rPr>
          <w:lang w:eastAsia="en-AU"/>
        </w:rPr>
      </w:pPr>
      <w:r>
        <w:rPr>
          <w:lang w:eastAsia="en-AU"/>
        </w:rPr>
        <w:t xml:space="preserve">Access to supports, including specialist legal assistance and non-legal supports and advocacy </w:t>
      </w:r>
      <w:r w:rsidR="006C6C8A">
        <w:rPr>
          <w:lang w:eastAsia="en-AU"/>
        </w:rPr>
        <w:t>is fundamental in closing the access to justice gap for persons with disabilities. It is also a requirement under the CRPD Art 13 because:</w:t>
      </w:r>
    </w:p>
    <w:p w14:paraId="78BBB10F" w14:textId="77777777" w:rsidR="006C6C8A" w:rsidRDefault="008D3E34" w:rsidP="002D0954">
      <w:pPr>
        <w:pStyle w:val="ListParagraph"/>
        <w:numPr>
          <w:ilvl w:val="0"/>
          <w:numId w:val="13"/>
        </w:numPr>
        <w:jc w:val="both"/>
        <w:rPr>
          <w:lang w:eastAsia="en-AU"/>
        </w:rPr>
      </w:pPr>
      <w:r>
        <w:rPr>
          <w:lang w:eastAsia="en-AU"/>
        </w:rPr>
        <w:t>Art 13</w:t>
      </w:r>
      <w:r w:rsidR="006C6C8A">
        <w:rPr>
          <w:lang w:eastAsia="en-AU"/>
        </w:rPr>
        <w:t xml:space="preserve"> incorporates and depends on </w:t>
      </w:r>
      <w:r>
        <w:rPr>
          <w:lang w:eastAsia="en-AU"/>
        </w:rPr>
        <w:t>numerous related rights, such as recognition of legal capacity, that need to be considered for effective access to justice.</w:t>
      </w:r>
    </w:p>
    <w:p w14:paraId="538492B8" w14:textId="77777777" w:rsidR="008D3E34" w:rsidRDefault="006C6C8A" w:rsidP="002D0954">
      <w:pPr>
        <w:pStyle w:val="ListParagraph"/>
        <w:numPr>
          <w:ilvl w:val="0"/>
          <w:numId w:val="13"/>
        </w:numPr>
        <w:jc w:val="both"/>
        <w:rPr>
          <w:lang w:eastAsia="en-AU"/>
        </w:rPr>
      </w:pPr>
      <w:r>
        <w:rPr>
          <w:lang w:eastAsia="en-AU"/>
        </w:rPr>
        <w:t>A</w:t>
      </w:r>
      <w:r w:rsidR="00572813">
        <w:rPr>
          <w:lang w:eastAsia="en-AU"/>
        </w:rPr>
        <w:t>rt 13</w:t>
      </w:r>
      <w:r>
        <w:rPr>
          <w:lang w:eastAsia="en-AU"/>
        </w:rPr>
        <w:t xml:space="preserve"> </w:t>
      </w:r>
      <w:r w:rsidR="00EC7F5F">
        <w:rPr>
          <w:lang w:eastAsia="en-AU"/>
        </w:rPr>
        <w:t xml:space="preserve">itself </w:t>
      </w:r>
      <w:r>
        <w:rPr>
          <w:lang w:eastAsia="en-AU"/>
        </w:rPr>
        <w:t xml:space="preserve">provides for an obligation on state parties to </w:t>
      </w:r>
      <w:r w:rsidR="00572813">
        <w:rPr>
          <w:lang w:eastAsia="en-AU"/>
        </w:rPr>
        <w:t>identify and provide</w:t>
      </w:r>
      <w:r>
        <w:rPr>
          <w:lang w:eastAsia="en-AU"/>
        </w:rPr>
        <w:t xml:space="preserve"> supports, including procedural and age-appropriate supports.</w:t>
      </w:r>
      <w:r w:rsidR="008D3E34">
        <w:rPr>
          <w:lang w:eastAsia="en-AU"/>
        </w:rPr>
        <w:t xml:space="preserve"> </w:t>
      </w:r>
    </w:p>
    <w:p w14:paraId="1FFD89DE" w14:textId="77777777" w:rsidR="006C6C8A" w:rsidRDefault="008D3E34" w:rsidP="002D0954">
      <w:pPr>
        <w:pStyle w:val="ListParagraph"/>
        <w:numPr>
          <w:ilvl w:val="0"/>
          <w:numId w:val="13"/>
        </w:numPr>
        <w:jc w:val="both"/>
        <w:rPr>
          <w:lang w:eastAsia="en-AU"/>
        </w:rPr>
      </w:pPr>
      <w:r>
        <w:rPr>
          <w:lang w:eastAsia="en-AU"/>
        </w:rPr>
        <w:t>P</w:t>
      </w:r>
      <w:r w:rsidR="006C6C8A">
        <w:rPr>
          <w:lang w:eastAsia="en-AU"/>
        </w:rPr>
        <w:t>ersons with disabiliti</w:t>
      </w:r>
      <w:r>
        <w:rPr>
          <w:lang w:eastAsia="en-AU"/>
        </w:rPr>
        <w:t xml:space="preserve">es have distinct support needs, </w:t>
      </w:r>
      <w:r w:rsidR="006C6C8A">
        <w:rPr>
          <w:lang w:eastAsia="en-AU"/>
        </w:rPr>
        <w:t>are more likely to have legal probl</w:t>
      </w:r>
      <w:r>
        <w:rPr>
          <w:lang w:eastAsia="en-AU"/>
        </w:rPr>
        <w:t xml:space="preserve">ems and that </w:t>
      </w:r>
      <w:r w:rsidR="00974DEA">
        <w:rPr>
          <w:lang w:eastAsia="en-AU"/>
        </w:rPr>
        <w:t xml:space="preserve">these </w:t>
      </w:r>
      <w:r>
        <w:rPr>
          <w:lang w:eastAsia="en-AU"/>
        </w:rPr>
        <w:t>problems are also more likely to be c</w:t>
      </w:r>
      <w:r w:rsidR="006C6C8A">
        <w:rPr>
          <w:lang w:eastAsia="en-AU"/>
        </w:rPr>
        <w:t>omplex, multiple, substantial and clustered</w:t>
      </w:r>
      <w:r>
        <w:rPr>
          <w:lang w:eastAsia="en-AU"/>
        </w:rPr>
        <w:t xml:space="preserve">. Accordingly, </w:t>
      </w:r>
      <w:r w:rsidR="005A60F5">
        <w:rPr>
          <w:lang w:eastAsia="en-AU"/>
        </w:rPr>
        <w:t>the</w:t>
      </w:r>
      <w:r>
        <w:rPr>
          <w:lang w:eastAsia="en-AU"/>
        </w:rPr>
        <w:t xml:space="preserve"> </w:t>
      </w:r>
      <w:r w:rsidR="006C6C8A">
        <w:rPr>
          <w:lang w:eastAsia="en-AU"/>
        </w:rPr>
        <w:t>require</w:t>
      </w:r>
      <w:r w:rsidR="005A60F5">
        <w:rPr>
          <w:lang w:eastAsia="en-AU"/>
        </w:rPr>
        <w:t>ment for</w:t>
      </w:r>
      <w:r>
        <w:rPr>
          <w:lang w:eastAsia="en-AU"/>
        </w:rPr>
        <w:t xml:space="preserve"> appropriate procedural accommodations and supports </w:t>
      </w:r>
      <w:r w:rsidR="005A60F5">
        <w:rPr>
          <w:lang w:eastAsia="en-AU"/>
        </w:rPr>
        <w:t>includes access to</w:t>
      </w:r>
      <w:r>
        <w:rPr>
          <w:lang w:eastAsia="en-AU"/>
        </w:rPr>
        <w:t xml:space="preserve"> effective</w:t>
      </w:r>
      <w:r w:rsidR="006C6C8A">
        <w:rPr>
          <w:lang w:eastAsia="en-AU"/>
        </w:rPr>
        <w:t xml:space="preserve"> specialist </w:t>
      </w:r>
      <w:r>
        <w:rPr>
          <w:lang w:eastAsia="en-AU"/>
        </w:rPr>
        <w:t xml:space="preserve">legal </w:t>
      </w:r>
      <w:r w:rsidR="006C6C8A">
        <w:rPr>
          <w:lang w:eastAsia="en-AU"/>
        </w:rPr>
        <w:t>services</w:t>
      </w:r>
      <w:r>
        <w:rPr>
          <w:lang w:eastAsia="en-AU"/>
        </w:rPr>
        <w:t xml:space="preserve"> and support from</w:t>
      </w:r>
      <w:r w:rsidR="005A60F5">
        <w:rPr>
          <w:lang w:eastAsia="en-AU"/>
        </w:rPr>
        <w:t xml:space="preserve"> competent</w:t>
      </w:r>
      <w:r>
        <w:rPr>
          <w:lang w:eastAsia="en-AU"/>
        </w:rPr>
        <w:t xml:space="preserve"> professionals</w:t>
      </w:r>
      <w:r w:rsidR="005A60F5">
        <w:rPr>
          <w:lang w:eastAsia="en-AU"/>
        </w:rPr>
        <w:t xml:space="preserve"> who are trained in the rights they work to guarantee</w:t>
      </w:r>
      <w:r>
        <w:rPr>
          <w:lang w:eastAsia="en-AU"/>
        </w:rPr>
        <w:t>.</w:t>
      </w:r>
    </w:p>
    <w:p w14:paraId="5C9EC823" w14:textId="77777777" w:rsidR="006C6C8A" w:rsidRDefault="009D0C67" w:rsidP="002D0954">
      <w:pPr>
        <w:pStyle w:val="ListParagraph"/>
        <w:numPr>
          <w:ilvl w:val="0"/>
          <w:numId w:val="13"/>
        </w:numPr>
        <w:jc w:val="both"/>
        <w:rPr>
          <w:lang w:eastAsia="en-AU"/>
        </w:rPr>
      </w:pPr>
      <w:r>
        <w:rPr>
          <w:lang w:eastAsia="en-AU"/>
        </w:rPr>
        <w:t>The obligation to identify and provide supports</w:t>
      </w:r>
      <w:r w:rsidR="00800C05">
        <w:rPr>
          <w:lang w:eastAsia="en-AU"/>
        </w:rPr>
        <w:t xml:space="preserve"> including legal assistance</w:t>
      </w:r>
      <w:r>
        <w:rPr>
          <w:lang w:eastAsia="en-AU"/>
        </w:rPr>
        <w:t xml:space="preserve"> necessitates adequate resourcing of legal aid programmes to ensure legal assistance and supports in access to justice.</w:t>
      </w:r>
    </w:p>
    <w:p w14:paraId="5270D349" w14:textId="77777777" w:rsidR="009D0F76" w:rsidRPr="009D0F76" w:rsidRDefault="00974DEA" w:rsidP="00D941FD">
      <w:pPr>
        <w:jc w:val="both"/>
        <w:rPr>
          <w:lang w:eastAsia="en-AU"/>
        </w:rPr>
      </w:pPr>
      <w:r>
        <w:rPr>
          <w:lang w:eastAsia="en-AU"/>
        </w:rPr>
        <w:t xml:space="preserve">Properly resourced </w:t>
      </w:r>
      <w:r w:rsidR="00443D7F">
        <w:rPr>
          <w:lang w:eastAsia="en-AU"/>
        </w:rPr>
        <w:t xml:space="preserve">Legal Aid programmes like VLA </w:t>
      </w:r>
      <w:r w:rsidR="00EC7F5F">
        <w:rPr>
          <w:lang w:eastAsia="en-AU"/>
        </w:rPr>
        <w:t xml:space="preserve">who have a right-based approach </w:t>
      </w:r>
      <w:r w:rsidR="00443D7F">
        <w:rPr>
          <w:lang w:eastAsia="en-AU"/>
        </w:rPr>
        <w:t>are essential in providing the above outlined specialist, intersectional and holistic legal and non-legal services to promote access to justice</w:t>
      </w:r>
      <w:r>
        <w:rPr>
          <w:lang w:eastAsia="en-AU"/>
        </w:rPr>
        <w:t>.</w:t>
      </w:r>
    </w:p>
    <w:sectPr w:rsidR="009D0F76" w:rsidRPr="009D0F76" w:rsidSect="00DA29C4">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9B488" w14:textId="77777777" w:rsidR="00916FE4" w:rsidRDefault="00916FE4">
      <w:r>
        <w:separator/>
      </w:r>
    </w:p>
    <w:p w14:paraId="3DEFBDAB" w14:textId="77777777" w:rsidR="00916FE4" w:rsidRDefault="00916FE4"/>
    <w:p w14:paraId="314C110E" w14:textId="77777777" w:rsidR="00916FE4" w:rsidRDefault="00916FE4"/>
  </w:endnote>
  <w:endnote w:type="continuationSeparator" w:id="0">
    <w:p w14:paraId="3038C228" w14:textId="77777777" w:rsidR="00916FE4" w:rsidRDefault="00916FE4">
      <w:r>
        <w:continuationSeparator/>
      </w:r>
    </w:p>
    <w:p w14:paraId="0C7D39F2" w14:textId="77777777" w:rsidR="00916FE4" w:rsidRDefault="00916FE4"/>
    <w:p w14:paraId="3B24C258" w14:textId="77777777" w:rsidR="00916FE4" w:rsidRDefault="00916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0DC9" w14:textId="77777777" w:rsidR="009D4E64" w:rsidRDefault="009D4E64"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8F18" w14:textId="77777777" w:rsidR="009D4E64" w:rsidRDefault="009D4E64" w:rsidP="00E6688C">
    <w:pPr>
      <w:pStyle w:val="VLAdivision"/>
    </w:pPr>
    <w: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B73E" w14:textId="77777777" w:rsidR="009D4E64" w:rsidRPr="00C97428" w:rsidRDefault="009D4E64"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BA12" w14:textId="77777777" w:rsidR="009D4E64" w:rsidRDefault="009D4E64" w:rsidP="00696B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19CC" w14:textId="77777777" w:rsidR="009D4E64" w:rsidRDefault="009D4E64" w:rsidP="00161EEF">
    <w:pPr>
      <w:pStyle w:val="Filename"/>
      <w:tabs>
        <w:tab w:val="clear" w:pos="9240"/>
      </w:tabs>
    </w:pPr>
    <w:r>
      <w:t>Victoria Legal Aid – 10 May 2017</w:t>
    </w:r>
  </w:p>
  <w:p w14:paraId="1D8E8F56" w14:textId="4BDBCB66" w:rsidR="009D4E64" w:rsidRPr="002B4970" w:rsidRDefault="009D4E64"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D0D07">
      <w:rPr>
        <w:rStyle w:val="PageNumber"/>
        <w:noProof/>
      </w:rPr>
      <w:t>i</w:t>
    </w:r>
    <w:r>
      <w:rPr>
        <w:rStyle w:val="PageNumber"/>
      </w:rPr>
      <w:fldChar w:fldCharType="end"/>
    </w:r>
    <w:r>
      <w:rPr>
        <w:rStyle w:val="PageNumber"/>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76FB" w14:textId="77777777" w:rsidR="009D4E64" w:rsidRDefault="009D4E64" w:rsidP="007F13D5">
    <w:pPr>
      <w:pStyle w:val="Filename"/>
      <w:tabs>
        <w:tab w:val="clear" w:pos="9240"/>
      </w:tabs>
    </w:pPr>
    <w:r>
      <w:t>Victoria Legal Aid – VLA Submission to OHCHR on Art 13: Access to Justice, CRPD – 1 May 2017</w:t>
    </w:r>
  </w:p>
  <w:p w14:paraId="694C3E78" w14:textId="7ADDCE75" w:rsidR="009D4E64" w:rsidRPr="002B4970" w:rsidRDefault="009D4E64" w:rsidP="00161EEF">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D0D07">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CB045" w14:textId="77777777" w:rsidR="00916FE4" w:rsidRPr="00E9228F" w:rsidRDefault="00916FE4" w:rsidP="00E9228F">
      <w:pPr>
        <w:rPr>
          <w:sz w:val="18"/>
          <w:szCs w:val="18"/>
        </w:rPr>
      </w:pPr>
      <w:r w:rsidRPr="006831FC">
        <w:rPr>
          <w:sz w:val="18"/>
        </w:rPr>
        <w:separator/>
      </w:r>
    </w:p>
  </w:footnote>
  <w:footnote w:type="continuationSeparator" w:id="0">
    <w:p w14:paraId="60EB36FC" w14:textId="77777777" w:rsidR="00916FE4" w:rsidRDefault="00916FE4">
      <w:r>
        <w:continuationSeparator/>
      </w:r>
    </w:p>
    <w:p w14:paraId="3AA95BE8" w14:textId="77777777" w:rsidR="00916FE4" w:rsidRDefault="00916FE4"/>
    <w:p w14:paraId="0E379E83" w14:textId="77777777" w:rsidR="00916FE4" w:rsidRDefault="00916FE4"/>
  </w:footnote>
  <w:footnote w:id="1">
    <w:p w14:paraId="22B97BBC" w14:textId="77777777" w:rsidR="009D4E64" w:rsidRDefault="009D4E64" w:rsidP="00C149EC">
      <w:pPr>
        <w:pStyle w:val="FootnoteText"/>
        <w:spacing w:after="0"/>
      </w:pPr>
      <w:r>
        <w:rPr>
          <w:rStyle w:val="FootnoteReference"/>
        </w:rPr>
        <w:footnoteRef/>
      </w:r>
      <w:r>
        <w:t xml:space="preserve"> For more information, please see our website: </w:t>
      </w:r>
      <w:hyperlink r:id="rId1" w:history="1">
        <w:r w:rsidRPr="008E1CE4">
          <w:rPr>
            <w:rStyle w:val="Hyperlink"/>
          </w:rPr>
          <w:t>https://www.legalaid.vic.gov.au/</w:t>
        </w:r>
      </w:hyperlink>
      <w:r>
        <w:t xml:space="preserve"> </w:t>
      </w:r>
    </w:p>
  </w:footnote>
  <w:footnote w:id="2">
    <w:p w14:paraId="40CC8F13" w14:textId="77777777" w:rsidR="009D4E64" w:rsidRPr="00105DC0" w:rsidRDefault="009D4E64" w:rsidP="00C149EC">
      <w:pPr>
        <w:pStyle w:val="FootnoteText"/>
        <w:spacing w:after="0"/>
        <w:rPr>
          <w:lang w:val="en-US"/>
        </w:rPr>
      </w:pPr>
      <w:r>
        <w:rPr>
          <w:rStyle w:val="FootnoteReference"/>
        </w:rPr>
        <w:footnoteRef/>
      </w:r>
      <w:r>
        <w:t xml:space="preserve"> </w:t>
      </w:r>
      <w:r>
        <w:rPr>
          <w:lang w:val="en-US"/>
        </w:rPr>
        <w:t xml:space="preserve">Annual Report 2015-16, Victoria Legal Aid. </w:t>
      </w:r>
    </w:p>
  </w:footnote>
  <w:footnote w:id="3">
    <w:p w14:paraId="02999317" w14:textId="77777777" w:rsidR="009D4E64" w:rsidRDefault="009D4E64" w:rsidP="00EC4B9A">
      <w:pPr>
        <w:pStyle w:val="FootnoteText"/>
        <w:spacing w:after="0" w:line="240" w:lineRule="auto"/>
        <w:ind w:left="0" w:firstLine="0"/>
      </w:pPr>
      <w:r>
        <w:rPr>
          <w:rStyle w:val="FootnoteReference"/>
        </w:rPr>
        <w:footnoteRef/>
      </w:r>
      <w:r>
        <w:t xml:space="preserve"> </w:t>
      </w:r>
      <w:r w:rsidRPr="00AB3F67">
        <w:t>The Productivity Commission is the Australian Government's independent research and advisory body on a range of economic, social and environmental issues affecting the welfare of Australians.</w:t>
      </w:r>
    </w:p>
  </w:footnote>
  <w:footnote w:id="4">
    <w:p w14:paraId="58AC7BE5" w14:textId="77777777" w:rsidR="009D4E64" w:rsidRDefault="009D4E64" w:rsidP="00EC4B9A">
      <w:pPr>
        <w:pStyle w:val="FootnoteText"/>
        <w:spacing w:after="0" w:line="240" w:lineRule="auto"/>
        <w:ind w:left="0" w:firstLine="0"/>
      </w:pPr>
      <w:r>
        <w:rPr>
          <w:rStyle w:val="FootnoteReference"/>
        </w:rPr>
        <w:footnoteRef/>
      </w:r>
      <w:r>
        <w:t xml:space="preserve"> Australian Government, Productivity Commission, </w:t>
      </w:r>
      <w:r>
        <w:rPr>
          <w:i/>
        </w:rPr>
        <w:t xml:space="preserve">Access to Justice Arrangements Report </w:t>
      </w:r>
      <w:r>
        <w:t xml:space="preserve">(2014, AGP) Vol 1 at 97. Accessible online at: </w:t>
      </w:r>
      <w:r w:rsidRPr="00675624">
        <w:t>http://www.pc.gov.au/inquiries/completed/access-justice/report</w:t>
      </w:r>
      <w:r>
        <w:t>.</w:t>
      </w:r>
    </w:p>
  </w:footnote>
  <w:footnote w:id="5">
    <w:p w14:paraId="6C19F647" w14:textId="77777777" w:rsidR="009D4E64" w:rsidRDefault="009D4E64" w:rsidP="00EC4B9A">
      <w:pPr>
        <w:pStyle w:val="FootnoteText"/>
        <w:spacing w:after="0" w:line="240" w:lineRule="auto"/>
        <w:ind w:left="0" w:firstLine="0"/>
      </w:pPr>
      <w:r>
        <w:rPr>
          <w:rStyle w:val="FootnoteReference"/>
        </w:rPr>
        <w:footnoteRef/>
      </w:r>
      <w:r>
        <w:t xml:space="preserve"> Ibid at Vol 1 at 95.</w:t>
      </w:r>
    </w:p>
  </w:footnote>
  <w:footnote w:id="6">
    <w:p w14:paraId="3B09FCD3" w14:textId="77777777" w:rsidR="009D4E64" w:rsidRDefault="009D4E64" w:rsidP="00EC4B9A">
      <w:pPr>
        <w:pStyle w:val="FootnoteText"/>
        <w:spacing w:after="0" w:line="240" w:lineRule="auto"/>
        <w:ind w:left="0" w:firstLine="0"/>
      </w:pPr>
      <w:r w:rsidRPr="00105DC0">
        <w:rPr>
          <w:rStyle w:val="FootnoteReference"/>
        </w:rPr>
        <w:footnoteRef/>
      </w:r>
      <w:r w:rsidRPr="00105DC0">
        <w:t xml:space="preserve"> Ibid at Vol 1 at 97</w:t>
      </w:r>
    </w:p>
  </w:footnote>
  <w:footnote w:id="7">
    <w:p w14:paraId="09350E63" w14:textId="77777777" w:rsidR="009D4E64" w:rsidRPr="003D1A00" w:rsidRDefault="009D4E64" w:rsidP="00EC4B9A">
      <w:pPr>
        <w:pStyle w:val="FootnoteText"/>
        <w:spacing w:after="0" w:line="240" w:lineRule="auto"/>
        <w:ind w:left="0" w:firstLine="0"/>
      </w:pPr>
      <w:r>
        <w:rPr>
          <w:rStyle w:val="FootnoteReference"/>
        </w:rPr>
        <w:footnoteRef/>
      </w:r>
      <w:r>
        <w:t xml:space="preserve"> Ibid at Vol 2 at 735.</w:t>
      </w:r>
    </w:p>
  </w:footnote>
  <w:footnote w:id="8">
    <w:p w14:paraId="53759660" w14:textId="77777777" w:rsidR="009D4E64" w:rsidRDefault="009D4E64" w:rsidP="00EC4B9A">
      <w:pPr>
        <w:pStyle w:val="FootnoteText"/>
        <w:spacing w:after="0" w:line="240" w:lineRule="auto"/>
        <w:ind w:left="0" w:firstLine="0"/>
      </w:pPr>
      <w:r>
        <w:rPr>
          <w:rStyle w:val="FootnoteReference"/>
        </w:rPr>
        <w:footnoteRef/>
      </w:r>
      <w:r>
        <w:t xml:space="preserve"> While these users represent 1.2 per cent of VLA’s total clients, they constitute 12 % of services provided during that period.  See, Rosy Jolic and Victoria Legal Aid, </w:t>
      </w:r>
      <w:r>
        <w:rPr>
          <w:i/>
        </w:rPr>
        <w:t xml:space="preserve">Research brief: </w:t>
      </w:r>
      <w:r w:rsidRPr="00EC4B9A">
        <w:rPr>
          <w:i/>
        </w:rPr>
        <w:t>Victoria Legal Aid client profiles – high-contact users of legal aid services</w:t>
      </w:r>
      <w:r>
        <w:rPr>
          <w:i/>
        </w:rPr>
        <w:t xml:space="preserve"> </w:t>
      </w:r>
      <w:r>
        <w:t xml:space="preserve">(2014) at 2.  Accessible online at: </w:t>
      </w:r>
      <w:r w:rsidRPr="00DD4904">
        <w:t>http://www.rk.com.au/assets/PDF/vla-client-profiles.pdf</w:t>
      </w:r>
    </w:p>
  </w:footnote>
  <w:footnote w:id="9">
    <w:p w14:paraId="6116B35F" w14:textId="77777777" w:rsidR="009D4E64" w:rsidRDefault="009D4E64" w:rsidP="00EC4B9A">
      <w:pPr>
        <w:pStyle w:val="FootnoteText"/>
        <w:spacing w:line="240" w:lineRule="auto"/>
        <w:ind w:left="0" w:firstLine="0"/>
      </w:pPr>
      <w:r>
        <w:rPr>
          <w:rStyle w:val="FootnoteReference"/>
        </w:rPr>
        <w:footnoteRef/>
      </w:r>
      <w:r>
        <w:t xml:space="preserve"> Data is drawn from our client records.</w:t>
      </w:r>
    </w:p>
  </w:footnote>
  <w:footnote w:id="10">
    <w:p w14:paraId="3EEC1CD4" w14:textId="77777777" w:rsidR="009D4E64" w:rsidRPr="00D34AE5" w:rsidRDefault="009D4E64" w:rsidP="00EC4B9A">
      <w:pPr>
        <w:pStyle w:val="FootnoteText"/>
        <w:spacing w:after="0" w:line="240" w:lineRule="auto"/>
        <w:ind w:left="0" w:firstLine="0"/>
        <w:contextualSpacing/>
      </w:pPr>
      <w:r>
        <w:rPr>
          <w:rStyle w:val="FootnoteReference"/>
        </w:rPr>
        <w:footnoteRef/>
      </w:r>
      <w:r>
        <w:t xml:space="preserve"> New South Wales Mental Health Review Tribunal, </w:t>
      </w:r>
      <w:r w:rsidRPr="00EC4B9A">
        <w:rPr>
          <w:i/>
        </w:rPr>
        <w:t>Annual Report</w:t>
      </w:r>
      <w:r>
        <w:t xml:space="preserve"> </w:t>
      </w:r>
      <w:r w:rsidRPr="00EC4B9A">
        <w:rPr>
          <w:i/>
        </w:rPr>
        <w:t>2014-2015</w:t>
      </w:r>
      <w:r>
        <w:rPr>
          <w:i/>
        </w:rPr>
        <w:t xml:space="preserve"> </w:t>
      </w:r>
      <w:r>
        <w:t>(2015) at 24.</w:t>
      </w:r>
    </w:p>
  </w:footnote>
  <w:footnote w:id="11">
    <w:p w14:paraId="031AB847" w14:textId="77777777" w:rsidR="009D4E64" w:rsidRPr="00F2401B" w:rsidRDefault="009D4E64" w:rsidP="00EC4B9A">
      <w:pPr>
        <w:pStyle w:val="FootnoteText"/>
        <w:spacing w:after="0" w:line="240" w:lineRule="auto"/>
        <w:ind w:left="0" w:firstLine="0"/>
        <w:contextualSpacing/>
      </w:pPr>
      <w:r>
        <w:rPr>
          <w:rStyle w:val="FootnoteReference"/>
        </w:rPr>
        <w:footnoteRef/>
      </w:r>
      <w:r>
        <w:t xml:space="preserve"> Eleanore Fritze, </w:t>
      </w:r>
      <w:proofErr w:type="gramStart"/>
      <w:r>
        <w:rPr>
          <w:i/>
        </w:rPr>
        <w:t>Shining</w:t>
      </w:r>
      <w:proofErr w:type="gramEnd"/>
      <w:r>
        <w:rPr>
          <w:i/>
        </w:rPr>
        <w:t xml:space="preserve"> a Light Behind Closed Doors</w:t>
      </w:r>
      <w:r>
        <w:t xml:space="preserve">, </w:t>
      </w:r>
      <w:proofErr w:type="spellStart"/>
      <w:r>
        <w:t>Churchhill</w:t>
      </w:r>
      <w:proofErr w:type="spellEnd"/>
      <w:r>
        <w:t xml:space="preserve"> Fellowship Report (2015) at 29. Accessible online at </w:t>
      </w:r>
      <w:r w:rsidRPr="00D34AE5">
        <w:t>https://www.churchilltrust.com.au/media/fellows/Fritze_E_Shining_a_light_behind_closed_doors.pdf</w:t>
      </w:r>
    </w:p>
  </w:footnote>
  <w:footnote w:id="12">
    <w:p w14:paraId="331C254E" w14:textId="77777777" w:rsidR="009D4E64" w:rsidRDefault="009D4E64" w:rsidP="00EC4B9A">
      <w:pPr>
        <w:pStyle w:val="FootnoteText"/>
        <w:spacing w:after="0" w:line="240" w:lineRule="auto"/>
        <w:ind w:left="0" w:firstLine="0"/>
        <w:contextualSpacing/>
      </w:pPr>
      <w:r>
        <w:rPr>
          <w:rStyle w:val="FootnoteReference"/>
        </w:rPr>
        <w:footnoteRef/>
      </w:r>
      <w:r>
        <w:t xml:space="preserve"> Including: The freedom to move around and be at liberty, freedom of where and with whom to live, freedom to have a family and to have contact with family, the right not to be tortured or subjected to other cruel, inhumane and degrading treatment or punishment; the right not to be subjected to medical treatment without consent, the right to live in the community; the right to privacy, freedom of decision-making about a wide range of matters, such as daily activities, financial affairs and the right to not have those decisions interfered with, the right to recognition of personal autonomy and legal capacity.</w:t>
      </w:r>
    </w:p>
  </w:footnote>
  <w:footnote w:id="13">
    <w:p w14:paraId="59CFECF1" w14:textId="77777777" w:rsidR="009D4E64" w:rsidRDefault="009D4E64" w:rsidP="00766C05">
      <w:pPr>
        <w:pStyle w:val="FootnoteText"/>
      </w:pPr>
      <w:r>
        <w:rPr>
          <w:rStyle w:val="FootnoteReference"/>
        </w:rPr>
        <w:footnoteRef/>
      </w:r>
      <w:r>
        <w:t xml:space="preserve"> Mental Health Bill 2014, Second Reading.</w:t>
      </w:r>
    </w:p>
  </w:footnote>
  <w:footnote w:id="14">
    <w:p w14:paraId="18C1AE99" w14:textId="77777777" w:rsidR="009D4E64" w:rsidRDefault="009D4E64" w:rsidP="00EC4B9A">
      <w:pPr>
        <w:pStyle w:val="FootnoteText"/>
        <w:spacing w:after="0" w:line="240" w:lineRule="auto"/>
        <w:ind w:left="0" w:firstLine="0"/>
        <w:contextualSpacing/>
      </w:pPr>
      <w:r w:rsidRPr="007443AC">
        <w:rPr>
          <w:szCs w:val="18"/>
          <w:vertAlign w:val="superscript"/>
        </w:rPr>
        <w:footnoteRef/>
      </w:r>
      <w:r w:rsidRPr="007443AC">
        <w:rPr>
          <w:szCs w:val="18"/>
          <w:vertAlign w:val="superscript"/>
        </w:rPr>
        <w:t xml:space="preserve"> </w:t>
      </w:r>
      <w:r w:rsidRPr="00EC4B9A">
        <w:t>Funded by the Victorian Department of Health and Human Services.</w:t>
      </w:r>
    </w:p>
  </w:footnote>
  <w:footnote w:id="15">
    <w:p w14:paraId="5953DD47" w14:textId="77777777" w:rsidR="009D4E64" w:rsidRDefault="009D4E64" w:rsidP="00EC4B9A">
      <w:pPr>
        <w:pStyle w:val="FootnoteText"/>
        <w:spacing w:after="0" w:line="240" w:lineRule="auto"/>
        <w:ind w:left="0" w:firstLine="0"/>
        <w:contextualSpacing/>
      </w:pPr>
      <w:r w:rsidRPr="007443AC">
        <w:rPr>
          <w:vertAlign w:val="superscript"/>
        </w:rPr>
        <w:footnoteRef/>
      </w:r>
      <w:r w:rsidRPr="007443AC">
        <w:rPr>
          <w:vertAlign w:val="superscript"/>
        </w:rPr>
        <w:t xml:space="preserve"> </w:t>
      </w:r>
      <w:r>
        <w:t xml:space="preserve">See, </w:t>
      </w:r>
      <w:r w:rsidRPr="00EC4B9A">
        <w:t xml:space="preserve">Mental Health Act, </w:t>
      </w:r>
      <w:proofErr w:type="spellStart"/>
      <w:r w:rsidRPr="00EC4B9A">
        <w:t>ss</w:t>
      </w:r>
      <w:proofErr w:type="spellEnd"/>
      <w:r w:rsidRPr="00EC4B9A">
        <w:t xml:space="preserve"> 28, 39, 45, 52.</w:t>
      </w:r>
    </w:p>
  </w:footnote>
  <w:footnote w:id="16">
    <w:p w14:paraId="015CC164" w14:textId="77777777" w:rsidR="009D4E64" w:rsidRDefault="009D4E64" w:rsidP="00EC4B9A">
      <w:pPr>
        <w:pStyle w:val="FootnoteText"/>
        <w:spacing w:after="0" w:line="240" w:lineRule="auto"/>
        <w:ind w:left="0" w:firstLine="0"/>
        <w:contextualSpacing/>
      </w:pPr>
      <w:r w:rsidRPr="007443AC">
        <w:rPr>
          <w:vertAlign w:val="superscript"/>
        </w:rPr>
        <w:footnoteRef/>
      </w:r>
      <w:r w:rsidRPr="007443AC">
        <w:rPr>
          <w:vertAlign w:val="superscript"/>
        </w:rPr>
        <w:t xml:space="preserve"> </w:t>
      </w:r>
      <w:r>
        <w:t xml:space="preserve">See, </w:t>
      </w:r>
      <w:r w:rsidRPr="00EC4B9A">
        <w:t>CMIA, s 26.</w:t>
      </w:r>
    </w:p>
  </w:footnote>
  <w:footnote w:id="17">
    <w:p w14:paraId="5E73CF93" w14:textId="77777777" w:rsidR="009D4E64" w:rsidRDefault="009D4E64" w:rsidP="00EC4B9A">
      <w:pPr>
        <w:pStyle w:val="FootnoteText"/>
        <w:spacing w:after="0" w:line="240" w:lineRule="auto"/>
        <w:ind w:left="0" w:firstLine="0"/>
        <w:contextualSpacing/>
      </w:pPr>
      <w:r w:rsidRPr="007443AC">
        <w:rPr>
          <w:vertAlign w:val="superscript"/>
        </w:rPr>
        <w:footnoteRef/>
      </w:r>
      <w:r w:rsidRPr="007443AC">
        <w:rPr>
          <w:vertAlign w:val="superscript"/>
        </w:rPr>
        <w:t xml:space="preserve"> </w:t>
      </w:r>
      <w:r>
        <w:t xml:space="preserve">See, </w:t>
      </w:r>
      <w:r w:rsidRPr="00EC4B9A">
        <w:t>Mental Health Act, s</w:t>
      </w:r>
      <w:r>
        <w:t xml:space="preserve"> </w:t>
      </w:r>
      <w:r w:rsidRPr="00EC4B9A">
        <w:t>275</w:t>
      </w:r>
      <w:r>
        <w:t>.</w:t>
      </w:r>
    </w:p>
  </w:footnote>
  <w:footnote w:id="18">
    <w:p w14:paraId="1BEF27BA" w14:textId="77777777" w:rsidR="009D4E64" w:rsidRDefault="009D4E64" w:rsidP="00EC4B9A">
      <w:pPr>
        <w:pStyle w:val="FootnoteText"/>
        <w:spacing w:after="0" w:line="240" w:lineRule="auto"/>
        <w:ind w:left="0" w:firstLine="0"/>
        <w:contextualSpacing/>
      </w:pPr>
      <w:r>
        <w:rPr>
          <w:rStyle w:val="FootnoteReference"/>
        </w:rPr>
        <w:footnoteRef/>
      </w:r>
      <w:r>
        <w:t xml:space="preserve"> Australian Government, Productivity Commission, </w:t>
      </w:r>
      <w:r>
        <w:rPr>
          <w:i/>
        </w:rPr>
        <w:t xml:space="preserve">Access to Justice Arrangements Report </w:t>
      </w:r>
      <w:r>
        <w:t xml:space="preserve">(2014, AGP) Vol 1 at 176. Accessible online at: </w:t>
      </w:r>
      <w:r w:rsidRPr="00675624">
        <w:t>http://www.pc.gov.au/inquiries/completed/access-justice/report</w:t>
      </w:r>
      <w:r>
        <w:t>.</w:t>
      </w:r>
    </w:p>
  </w:footnote>
  <w:footnote w:id="19">
    <w:p w14:paraId="40D3CA09" w14:textId="77777777" w:rsidR="009D4E64" w:rsidRDefault="009D4E64" w:rsidP="00EC4B9A">
      <w:pPr>
        <w:pStyle w:val="FootnoteText"/>
        <w:spacing w:after="0" w:line="240" w:lineRule="auto"/>
        <w:ind w:left="288" w:hanging="288"/>
        <w:contextualSpacing/>
      </w:pPr>
      <w:r>
        <w:rPr>
          <w:rStyle w:val="FootnoteReference"/>
        </w:rPr>
        <w:footnoteRef/>
      </w:r>
      <w:r>
        <w:t xml:space="preserve"> CRPD/C/GC/1 [38].</w:t>
      </w:r>
    </w:p>
  </w:footnote>
  <w:footnote w:id="20">
    <w:p w14:paraId="17FA8F58" w14:textId="77777777" w:rsidR="009D4E64" w:rsidRDefault="009D4E64" w:rsidP="00EC4B9A">
      <w:pPr>
        <w:pStyle w:val="FootnoteText"/>
        <w:spacing w:after="0" w:line="240" w:lineRule="auto"/>
        <w:ind w:left="288" w:hanging="288"/>
        <w:contextualSpacing/>
      </w:pPr>
      <w:r>
        <w:rPr>
          <w:rStyle w:val="FootnoteReference"/>
        </w:rPr>
        <w:footnoteRef/>
      </w:r>
      <w:r>
        <w:t xml:space="preserve"> CRPD, Art 5(1).</w:t>
      </w:r>
    </w:p>
  </w:footnote>
  <w:footnote w:id="21">
    <w:p w14:paraId="0259CECE" w14:textId="77777777" w:rsidR="009D4E64" w:rsidRDefault="009D4E64" w:rsidP="00EC4B9A">
      <w:pPr>
        <w:pStyle w:val="FootnoteText"/>
        <w:spacing w:after="0" w:line="240" w:lineRule="auto"/>
        <w:ind w:left="288" w:hanging="288"/>
        <w:contextualSpacing/>
      </w:pPr>
      <w:r>
        <w:rPr>
          <w:rStyle w:val="FootnoteReference"/>
        </w:rPr>
        <w:footnoteRef/>
      </w:r>
      <w:r>
        <w:t xml:space="preserve"> CRPD, Art 12. </w:t>
      </w:r>
    </w:p>
  </w:footnote>
  <w:footnote w:id="22">
    <w:p w14:paraId="4A5F7247" w14:textId="77777777" w:rsidR="009D4E64" w:rsidRDefault="009D4E64" w:rsidP="00EC4B9A">
      <w:pPr>
        <w:pStyle w:val="FootnoteText"/>
        <w:spacing w:after="0" w:line="240" w:lineRule="auto"/>
        <w:ind w:left="288" w:hanging="288"/>
        <w:contextualSpacing/>
      </w:pPr>
      <w:r>
        <w:rPr>
          <w:rStyle w:val="FootnoteReference"/>
        </w:rPr>
        <w:footnoteRef/>
      </w:r>
      <w:r>
        <w:t xml:space="preserve"> CRPD, Preamble (n).</w:t>
      </w:r>
    </w:p>
  </w:footnote>
  <w:footnote w:id="23">
    <w:p w14:paraId="4AAFE589" w14:textId="77777777" w:rsidR="009D4E64" w:rsidRDefault="009D4E64" w:rsidP="00EC4B9A">
      <w:pPr>
        <w:pStyle w:val="FootnoteText"/>
        <w:spacing w:after="0" w:line="240" w:lineRule="auto"/>
        <w:ind w:left="288" w:hanging="288"/>
        <w:contextualSpacing/>
      </w:pPr>
      <w:r>
        <w:rPr>
          <w:rStyle w:val="FootnoteReference"/>
        </w:rPr>
        <w:footnoteRef/>
      </w:r>
      <w:r>
        <w:t xml:space="preserve"> CRPD, Art 3(a)</w:t>
      </w:r>
    </w:p>
  </w:footnote>
  <w:footnote w:id="24">
    <w:p w14:paraId="59059E25" w14:textId="77777777" w:rsidR="009D4E64" w:rsidRDefault="009D4E64" w:rsidP="00EC4B9A">
      <w:pPr>
        <w:pStyle w:val="FootnoteText"/>
        <w:spacing w:after="0" w:line="240" w:lineRule="auto"/>
        <w:ind w:left="288" w:hanging="288"/>
        <w:contextualSpacing/>
      </w:pPr>
      <w:r>
        <w:rPr>
          <w:rStyle w:val="FootnoteReference"/>
        </w:rPr>
        <w:footnoteRef/>
      </w:r>
      <w:r>
        <w:t xml:space="preserve"> CRPD, Art 3(h).</w:t>
      </w:r>
    </w:p>
  </w:footnote>
  <w:footnote w:id="25">
    <w:p w14:paraId="4790E86D" w14:textId="77777777" w:rsidR="009D4E64" w:rsidRDefault="009D4E64" w:rsidP="00EC4B9A">
      <w:pPr>
        <w:pStyle w:val="FootnoteText"/>
        <w:spacing w:after="0" w:line="240" w:lineRule="auto"/>
        <w:ind w:left="288" w:hanging="288"/>
        <w:contextualSpacing/>
      </w:pPr>
      <w:r>
        <w:rPr>
          <w:rStyle w:val="FootnoteReference"/>
        </w:rPr>
        <w:footnoteRef/>
      </w:r>
      <w:r>
        <w:t xml:space="preserve"> CRPD, Art 5.</w:t>
      </w:r>
    </w:p>
  </w:footnote>
  <w:footnote w:id="26">
    <w:p w14:paraId="1D318886" w14:textId="77777777" w:rsidR="009D4E64" w:rsidRDefault="009D4E64" w:rsidP="00EC4B9A">
      <w:pPr>
        <w:pStyle w:val="FootnoteText"/>
        <w:spacing w:after="0" w:line="240" w:lineRule="auto"/>
      </w:pPr>
      <w:r>
        <w:rPr>
          <w:rStyle w:val="FootnoteReference"/>
        </w:rPr>
        <w:footnoteRef/>
      </w:r>
      <w:r>
        <w:t xml:space="preserve"> CRPD, Art 14.</w:t>
      </w:r>
    </w:p>
  </w:footnote>
  <w:footnote w:id="27">
    <w:p w14:paraId="104F37E0" w14:textId="77777777" w:rsidR="009D4E64" w:rsidRDefault="009D4E64" w:rsidP="003806A1">
      <w:pPr>
        <w:pStyle w:val="FootnoteText"/>
        <w:spacing w:after="0"/>
      </w:pPr>
      <w:r>
        <w:rPr>
          <w:rStyle w:val="FootnoteReference"/>
        </w:rPr>
        <w:footnoteRef/>
      </w:r>
      <w:r>
        <w:t xml:space="preserve"> CRPD, Art 15.</w:t>
      </w:r>
    </w:p>
  </w:footnote>
  <w:footnote w:id="28">
    <w:p w14:paraId="4A1F52E2" w14:textId="77777777" w:rsidR="009D4E64" w:rsidRDefault="009D4E64" w:rsidP="007E1D43">
      <w:pPr>
        <w:pStyle w:val="FootnoteText"/>
        <w:spacing w:after="0"/>
      </w:pPr>
      <w:r>
        <w:rPr>
          <w:rStyle w:val="FootnoteReference"/>
        </w:rPr>
        <w:footnoteRef/>
      </w:r>
      <w:r>
        <w:t xml:space="preserve"> CRPD, Art 16.</w:t>
      </w:r>
    </w:p>
  </w:footnote>
  <w:footnote w:id="29">
    <w:p w14:paraId="2EBB7F05" w14:textId="77777777" w:rsidR="009D4E64" w:rsidRDefault="009D4E64" w:rsidP="00007776">
      <w:pPr>
        <w:pStyle w:val="FootnoteText"/>
        <w:spacing w:after="0"/>
      </w:pPr>
      <w:r>
        <w:rPr>
          <w:rStyle w:val="FootnoteReference"/>
        </w:rPr>
        <w:footnoteRef/>
      </w:r>
      <w:r>
        <w:t xml:space="preserve"> CRPD, Art 17.</w:t>
      </w:r>
    </w:p>
  </w:footnote>
  <w:footnote w:id="30">
    <w:p w14:paraId="6A04B144" w14:textId="77777777" w:rsidR="009D4E64" w:rsidRDefault="009D4E64" w:rsidP="00501E4C">
      <w:pPr>
        <w:pStyle w:val="FootnoteText"/>
        <w:spacing w:after="0"/>
      </w:pPr>
      <w:r>
        <w:rPr>
          <w:rStyle w:val="FootnoteReference"/>
        </w:rPr>
        <w:footnoteRef/>
      </w:r>
      <w:r>
        <w:t xml:space="preserve"> CRPD, Art 19.</w:t>
      </w:r>
    </w:p>
  </w:footnote>
  <w:footnote w:id="31">
    <w:p w14:paraId="51115E5C" w14:textId="77777777" w:rsidR="009D4E64" w:rsidRDefault="009D4E64" w:rsidP="00141A80">
      <w:pPr>
        <w:pStyle w:val="FootnoteText"/>
        <w:spacing w:after="0"/>
      </w:pPr>
      <w:r>
        <w:rPr>
          <w:rStyle w:val="FootnoteReference"/>
        </w:rPr>
        <w:footnoteRef/>
      </w:r>
      <w:r>
        <w:t xml:space="preserve"> CRPD, Art 23.</w:t>
      </w:r>
    </w:p>
  </w:footnote>
  <w:footnote w:id="32">
    <w:p w14:paraId="225DD567" w14:textId="77777777" w:rsidR="009D4E64" w:rsidRDefault="009D4E64" w:rsidP="00501E4C">
      <w:pPr>
        <w:pStyle w:val="FootnoteText"/>
        <w:spacing w:after="0"/>
      </w:pPr>
      <w:r>
        <w:rPr>
          <w:rStyle w:val="FootnoteReference"/>
        </w:rPr>
        <w:footnoteRef/>
      </w:r>
      <w:r>
        <w:t xml:space="preserve"> CRPD, Art 14.</w:t>
      </w:r>
    </w:p>
  </w:footnote>
  <w:footnote w:id="33">
    <w:p w14:paraId="04D08C11" w14:textId="77777777" w:rsidR="009D4E64" w:rsidRDefault="009D4E64" w:rsidP="007B19E1">
      <w:pPr>
        <w:pStyle w:val="FootnoteText"/>
        <w:spacing w:after="0"/>
      </w:pPr>
      <w:r>
        <w:rPr>
          <w:rStyle w:val="FootnoteReference"/>
        </w:rPr>
        <w:footnoteRef/>
      </w:r>
      <w:r>
        <w:t xml:space="preserve"> CRPD, Art 2.</w:t>
      </w:r>
    </w:p>
  </w:footnote>
  <w:footnote w:id="34">
    <w:p w14:paraId="4F9A0BC4" w14:textId="77777777" w:rsidR="009D4E64" w:rsidRDefault="009D4E64" w:rsidP="007B19E1">
      <w:pPr>
        <w:pStyle w:val="FootnoteText"/>
        <w:spacing w:after="0"/>
      </w:pPr>
      <w:r>
        <w:rPr>
          <w:rStyle w:val="FootnoteReference"/>
        </w:rPr>
        <w:footnoteRef/>
      </w:r>
      <w:r>
        <w:t xml:space="preserve"> CRPD, Art 25.</w:t>
      </w:r>
    </w:p>
  </w:footnote>
  <w:footnote w:id="35">
    <w:p w14:paraId="63C242C1" w14:textId="77777777" w:rsidR="009D4E64" w:rsidRDefault="009D4E64" w:rsidP="001B18B5">
      <w:pPr>
        <w:pStyle w:val="FootnoteText"/>
        <w:spacing w:after="0"/>
      </w:pPr>
      <w:r>
        <w:rPr>
          <w:rStyle w:val="FootnoteReference"/>
        </w:rPr>
        <w:footnoteRef/>
      </w:r>
      <w:r>
        <w:t xml:space="preserve"> Union of the Physically Impaired Against Segregation, </w:t>
      </w:r>
      <w:r w:rsidRPr="00EC4B9A">
        <w:rPr>
          <w:i/>
        </w:rPr>
        <w:t>Fundamental Principles of Disability</w:t>
      </w:r>
      <w:r>
        <w:t xml:space="preserve"> (1976).</w:t>
      </w:r>
    </w:p>
  </w:footnote>
  <w:footnote w:id="36">
    <w:p w14:paraId="2E87DD2D" w14:textId="77777777" w:rsidR="009D4E64" w:rsidRDefault="009D4E64" w:rsidP="00575E43">
      <w:pPr>
        <w:pStyle w:val="FootnoteText"/>
        <w:spacing w:after="0"/>
      </w:pPr>
      <w:r>
        <w:rPr>
          <w:rStyle w:val="FootnoteReference"/>
        </w:rPr>
        <w:footnoteRef/>
      </w:r>
      <w:r>
        <w:t xml:space="preserve"> CRPD, Preamble (j).</w:t>
      </w:r>
    </w:p>
  </w:footnote>
  <w:footnote w:id="37">
    <w:p w14:paraId="2D3CD2E0" w14:textId="77777777" w:rsidR="009D4E64" w:rsidRPr="00F94442" w:rsidRDefault="009D4E64" w:rsidP="00575E43">
      <w:pPr>
        <w:pStyle w:val="FootnoteText"/>
        <w:spacing w:after="0"/>
      </w:pPr>
      <w:r>
        <w:rPr>
          <w:rStyle w:val="FootnoteReference"/>
        </w:rPr>
        <w:footnoteRef/>
      </w:r>
      <w:r w:rsidRPr="00F94442">
        <w:t xml:space="preserve"> A/HRC/34/26, 10 [35].</w:t>
      </w:r>
    </w:p>
  </w:footnote>
  <w:footnote w:id="38">
    <w:p w14:paraId="1172B8D0" w14:textId="77777777" w:rsidR="009D4E64" w:rsidRDefault="009D4E64" w:rsidP="0036062C">
      <w:pPr>
        <w:pStyle w:val="FootnoteText"/>
        <w:spacing w:after="0"/>
        <w:ind w:left="0" w:firstLine="0"/>
      </w:pPr>
      <w:r>
        <w:rPr>
          <w:rStyle w:val="FootnoteReference"/>
        </w:rPr>
        <w:footnoteRef/>
      </w:r>
      <w:r>
        <w:t xml:space="preserve"> </w:t>
      </w:r>
      <w:r w:rsidRPr="0043413B">
        <w:t xml:space="preserve">Committee on the Rights of Persons with Disabilities, </w:t>
      </w:r>
      <w:r w:rsidRPr="0043413B">
        <w:rPr>
          <w:i/>
        </w:rPr>
        <w:t xml:space="preserve">Views adopted by the Committee </w:t>
      </w:r>
      <w:r>
        <w:rPr>
          <w:i/>
        </w:rPr>
        <w:t xml:space="preserve">under article 5 of the Optional </w:t>
      </w:r>
      <w:r w:rsidRPr="0043413B">
        <w:rPr>
          <w:i/>
        </w:rPr>
        <w:t>Protocol, concerning communication No. 7/2012</w:t>
      </w:r>
      <w:r w:rsidRPr="0043413B">
        <w:t>, 16</w:t>
      </w:r>
      <w:r w:rsidRPr="0043413B">
        <w:rPr>
          <w:vertAlign w:val="superscript"/>
        </w:rPr>
        <w:t>th</w:t>
      </w:r>
      <w:r w:rsidRPr="0043413B">
        <w:t xml:space="preserve"> </w:t>
      </w:r>
      <w:proofErr w:type="spellStart"/>
      <w:r w:rsidRPr="0043413B">
        <w:t>sess</w:t>
      </w:r>
      <w:proofErr w:type="spellEnd"/>
      <w:r w:rsidRPr="0043413B">
        <w:t>, UN Doc CRPD/C/16/D/7/2012 (2 September 2016)</w:t>
      </w:r>
      <w:r>
        <w:t xml:space="preserve"> at </w:t>
      </w:r>
      <w:r w:rsidRPr="0043413B">
        <w:t>15 [8.4]</w:t>
      </w:r>
      <w:r>
        <w:t>.</w:t>
      </w:r>
    </w:p>
  </w:footnote>
  <w:footnote w:id="39">
    <w:p w14:paraId="7928CA71" w14:textId="77777777" w:rsidR="009D4E64" w:rsidRPr="000B62D9" w:rsidRDefault="009D4E64" w:rsidP="00EC4B9A">
      <w:pPr>
        <w:pStyle w:val="FootnoteText"/>
        <w:spacing w:after="0" w:line="240" w:lineRule="auto"/>
      </w:pPr>
      <w:r>
        <w:rPr>
          <w:rStyle w:val="FootnoteReference"/>
        </w:rPr>
        <w:footnoteRef/>
      </w:r>
      <w:r w:rsidRPr="000B62D9">
        <w:t xml:space="preserve"> CRPD/C/GC/1, 10 [38].</w:t>
      </w:r>
    </w:p>
  </w:footnote>
  <w:footnote w:id="40">
    <w:p w14:paraId="2CEB4AD0" w14:textId="77777777" w:rsidR="009D4E64" w:rsidRDefault="009D4E64" w:rsidP="00EC4B9A">
      <w:pPr>
        <w:pStyle w:val="FootnoteText"/>
        <w:spacing w:after="0" w:line="240" w:lineRule="auto"/>
      </w:pPr>
      <w:r>
        <w:rPr>
          <w:rStyle w:val="FootnoteReference"/>
        </w:rPr>
        <w:footnoteRef/>
      </w:r>
      <w:r>
        <w:t xml:space="preserve"> CRPD-C-GC-3, 15 [52]. A/HRC/20/5, [</w:t>
      </w:r>
      <w:r w:rsidRPr="00433BF0">
        <w:t>41</w:t>
      </w:r>
      <w:r>
        <w:t>]; A/67/227, [</w:t>
      </w:r>
      <w:r w:rsidRPr="00433BF0">
        <w:t>42</w:t>
      </w:r>
      <w:r>
        <w:t>].</w:t>
      </w:r>
    </w:p>
  </w:footnote>
  <w:footnote w:id="41">
    <w:p w14:paraId="59A1C77B" w14:textId="77777777" w:rsidR="009D4E64" w:rsidRDefault="009D4E64" w:rsidP="00EC4B9A">
      <w:pPr>
        <w:pStyle w:val="FootnoteText"/>
        <w:spacing w:after="0" w:line="240" w:lineRule="auto"/>
      </w:pPr>
      <w:r>
        <w:rPr>
          <w:rStyle w:val="FootnoteReference"/>
        </w:rPr>
        <w:footnoteRef/>
      </w:r>
      <w:r>
        <w:t xml:space="preserve"> CRPD, Preamble (s).</w:t>
      </w:r>
    </w:p>
  </w:footnote>
  <w:footnote w:id="42">
    <w:p w14:paraId="2E6EA32F" w14:textId="77777777" w:rsidR="009D4E64" w:rsidRDefault="009D4E64" w:rsidP="00EC4B9A">
      <w:pPr>
        <w:pStyle w:val="FootnoteText"/>
        <w:spacing w:after="0" w:line="240" w:lineRule="auto"/>
      </w:pPr>
      <w:r>
        <w:rPr>
          <w:rStyle w:val="FootnoteReference"/>
        </w:rPr>
        <w:footnoteRef/>
      </w:r>
      <w:r>
        <w:t xml:space="preserve"> CRPD-C-GC-3, 15 [53].</w:t>
      </w:r>
    </w:p>
  </w:footnote>
  <w:footnote w:id="43">
    <w:p w14:paraId="65771252" w14:textId="77777777" w:rsidR="009D4E64" w:rsidRDefault="009D4E64" w:rsidP="00EC4B9A">
      <w:pPr>
        <w:pStyle w:val="FootnoteText"/>
        <w:spacing w:after="0" w:line="240" w:lineRule="auto"/>
      </w:pPr>
      <w:r>
        <w:rPr>
          <w:rStyle w:val="FootnoteReference"/>
        </w:rPr>
        <w:footnoteRef/>
      </w:r>
      <w:r>
        <w:t xml:space="preserve"> CRPD, Preamble (r); arts 7; 7(2); 7(3); 13(1); 16(2).</w:t>
      </w:r>
    </w:p>
  </w:footnote>
  <w:footnote w:id="44">
    <w:p w14:paraId="2406C23C" w14:textId="77777777" w:rsidR="009D4E64" w:rsidRDefault="009D4E64" w:rsidP="00EC4B9A">
      <w:pPr>
        <w:pStyle w:val="FootnoteText"/>
        <w:spacing w:after="0" w:line="240" w:lineRule="auto"/>
      </w:pPr>
      <w:r>
        <w:rPr>
          <w:rStyle w:val="FootnoteReference"/>
        </w:rPr>
        <w:footnoteRef/>
      </w:r>
      <w:r>
        <w:t xml:space="preserve"> CRPD, Preamble (h).</w:t>
      </w:r>
    </w:p>
  </w:footnote>
  <w:footnote w:id="45">
    <w:p w14:paraId="32564799" w14:textId="77777777" w:rsidR="009D4E64" w:rsidRDefault="009D4E64" w:rsidP="00EC4B9A">
      <w:pPr>
        <w:pStyle w:val="FootnoteText"/>
        <w:spacing w:after="0" w:line="240" w:lineRule="auto"/>
      </w:pPr>
      <w:r>
        <w:rPr>
          <w:rStyle w:val="FootnoteReference"/>
        </w:rPr>
        <w:footnoteRef/>
      </w:r>
      <w:r>
        <w:t xml:space="preserve"> CRPD, Preamble (</w:t>
      </w:r>
      <w:proofErr w:type="spellStart"/>
      <w:r>
        <w:t>i</w:t>
      </w:r>
      <w:proofErr w:type="spellEnd"/>
      <w:r>
        <w:t>); art 9; art 13(2).</w:t>
      </w:r>
    </w:p>
  </w:footnote>
  <w:footnote w:id="46">
    <w:p w14:paraId="33057D38" w14:textId="77777777" w:rsidR="009D4E64" w:rsidRDefault="009D4E64" w:rsidP="00EC4B9A">
      <w:pPr>
        <w:pStyle w:val="FootnoteText"/>
        <w:spacing w:after="0" w:line="240" w:lineRule="auto"/>
      </w:pPr>
      <w:r>
        <w:rPr>
          <w:rStyle w:val="FootnoteReference"/>
        </w:rPr>
        <w:footnoteRef/>
      </w:r>
      <w:r>
        <w:t xml:space="preserve"> CRPD, Art 4(1)(</w:t>
      </w:r>
      <w:proofErr w:type="spellStart"/>
      <w:r>
        <w:t>i</w:t>
      </w:r>
      <w:proofErr w:type="spellEnd"/>
      <w:r>
        <w:t>).</w:t>
      </w:r>
    </w:p>
  </w:footnote>
  <w:footnote w:id="47">
    <w:p w14:paraId="74A18F81" w14:textId="77777777" w:rsidR="009D4E64" w:rsidRPr="00EF0E56" w:rsidRDefault="009D4E64" w:rsidP="00EF0E56">
      <w:pPr>
        <w:pStyle w:val="FootnoteText"/>
        <w:spacing w:after="0"/>
        <w:rPr>
          <w:rFonts w:cs="Arial"/>
        </w:rPr>
      </w:pPr>
      <w:r w:rsidRPr="00EF0E56">
        <w:rPr>
          <w:rStyle w:val="FootnoteReference"/>
          <w:rFonts w:cs="Arial"/>
        </w:rPr>
        <w:footnoteRef/>
      </w:r>
      <w:r w:rsidRPr="00EF0E56">
        <w:rPr>
          <w:rFonts w:cs="Arial"/>
        </w:rPr>
        <w:t xml:space="preserve"> CRPD, art 13(1).</w:t>
      </w:r>
    </w:p>
  </w:footnote>
  <w:footnote w:id="48">
    <w:p w14:paraId="750B309C" w14:textId="77777777" w:rsidR="009D4E64" w:rsidRDefault="009D4E64" w:rsidP="00CF77E0">
      <w:pPr>
        <w:pStyle w:val="FootnoteText"/>
        <w:spacing w:after="0"/>
        <w:ind w:left="0" w:firstLine="0"/>
      </w:pPr>
      <w:r w:rsidRPr="00EF0E56">
        <w:rPr>
          <w:rStyle w:val="FootnoteReference"/>
          <w:rFonts w:cs="Arial"/>
        </w:rPr>
        <w:footnoteRef/>
      </w:r>
      <w:r w:rsidRPr="00EF0E56">
        <w:rPr>
          <w:rFonts w:cs="Arial"/>
        </w:rPr>
        <w:t xml:space="preserve"> Law and Justice Foundation of New South Wales, </w:t>
      </w:r>
      <w:r w:rsidRPr="00EC4B9A">
        <w:rPr>
          <w:rFonts w:cs="Arial"/>
          <w:i/>
        </w:rPr>
        <w:t>Legal Australia-Wide Survey: Legal Need in Australia</w:t>
      </w:r>
      <w:r w:rsidRPr="00EF0E56">
        <w:rPr>
          <w:rFonts w:cs="Arial"/>
        </w:rPr>
        <w:t xml:space="preserve"> (2012) 19. Available online</w:t>
      </w:r>
      <w:r>
        <w:t xml:space="preserve">: </w:t>
      </w:r>
      <w:hyperlink r:id="rId2" w:history="1">
        <w:r w:rsidRPr="00DB1176">
          <w:rPr>
            <w:rStyle w:val="Hyperlink"/>
          </w:rPr>
          <w:t>http://www.lawfoundation.net.au/ljf/site/templates/LAW_AUS/$file/LAW_Survey_Australia.pdf</w:t>
        </w:r>
      </w:hyperlink>
      <w:r>
        <w:t xml:space="preserve"> </w:t>
      </w:r>
    </w:p>
  </w:footnote>
  <w:footnote w:id="49">
    <w:p w14:paraId="4954CE7A" w14:textId="77777777" w:rsidR="009D4E64" w:rsidRDefault="009D4E64" w:rsidP="00EC4B9A">
      <w:pPr>
        <w:pStyle w:val="FootnoteText"/>
        <w:spacing w:after="0" w:line="240" w:lineRule="auto"/>
      </w:pPr>
      <w:r>
        <w:rPr>
          <w:rStyle w:val="FootnoteReference"/>
        </w:rPr>
        <w:footnoteRef/>
      </w:r>
      <w:r>
        <w:t xml:space="preserve"> </w:t>
      </w:r>
      <w:r w:rsidRPr="00C736F5">
        <w:rPr>
          <w:i/>
        </w:rPr>
        <w:t>National Disability Insurance Scheme Act 2013</w:t>
      </w:r>
      <w:r>
        <w:t xml:space="preserve"> (</w:t>
      </w:r>
      <w:proofErr w:type="spellStart"/>
      <w:r>
        <w:t>Cth</w:t>
      </w:r>
      <w:proofErr w:type="spellEnd"/>
      <w:r>
        <w:t>) (</w:t>
      </w:r>
      <w:r>
        <w:rPr>
          <w:b/>
        </w:rPr>
        <w:t>NDIS Act</w:t>
      </w:r>
      <w:r>
        <w:t>), s 3.</w:t>
      </w:r>
    </w:p>
  </w:footnote>
  <w:footnote w:id="50">
    <w:p w14:paraId="5581F742" w14:textId="77777777" w:rsidR="009D4E64" w:rsidRDefault="009D4E64" w:rsidP="00EC4B9A">
      <w:pPr>
        <w:pStyle w:val="FootnoteText"/>
        <w:spacing w:after="0" w:line="240" w:lineRule="auto"/>
      </w:pPr>
      <w:r>
        <w:rPr>
          <w:rStyle w:val="FootnoteReference"/>
        </w:rPr>
        <w:footnoteRef/>
      </w:r>
      <w:r>
        <w:t xml:space="preserve"> NDIS Act, s 4.</w:t>
      </w:r>
    </w:p>
  </w:footnote>
  <w:footnote w:id="51">
    <w:p w14:paraId="75F7901E" w14:textId="77777777" w:rsidR="009D4E64" w:rsidRDefault="009D4E64" w:rsidP="00EC4B9A">
      <w:pPr>
        <w:pStyle w:val="FootnoteText"/>
        <w:spacing w:after="0" w:line="240" w:lineRule="auto"/>
      </w:pPr>
      <w:r>
        <w:rPr>
          <w:rStyle w:val="FootnoteReference"/>
        </w:rPr>
        <w:footnoteRef/>
      </w:r>
      <w:r>
        <w:t xml:space="preserve"> Commonwealth of Australia, </w:t>
      </w:r>
      <w:r w:rsidRPr="006752F6">
        <w:rPr>
          <w:i/>
        </w:rPr>
        <w:t>National Disability Strategy 2010-2020</w:t>
      </w:r>
      <w:r>
        <w:t xml:space="preserve"> (2011) at 9.</w:t>
      </w:r>
    </w:p>
  </w:footnote>
  <w:footnote w:id="52">
    <w:p w14:paraId="3560B361" w14:textId="77777777" w:rsidR="009D4E64" w:rsidRPr="009A3C04" w:rsidRDefault="009D4E64" w:rsidP="00EC4B9A">
      <w:pPr>
        <w:pStyle w:val="FootnoteText"/>
        <w:spacing w:after="0" w:line="240" w:lineRule="auto"/>
        <w:ind w:left="0" w:firstLine="0"/>
        <w:contextualSpacing/>
        <w:rPr>
          <w:rFonts w:cs="Arial"/>
        </w:rPr>
      </w:pPr>
      <w:r>
        <w:rPr>
          <w:rStyle w:val="FootnoteReference"/>
        </w:rPr>
        <w:footnoteRef/>
      </w:r>
      <w:r>
        <w:t xml:space="preserve"> </w:t>
      </w:r>
      <w:r w:rsidRPr="00EF0E56">
        <w:rPr>
          <w:rFonts w:cs="Arial"/>
          <w:szCs w:val="16"/>
        </w:rPr>
        <w:t xml:space="preserve">New South Wales Law Reform Commission, </w:t>
      </w:r>
      <w:r w:rsidRPr="00EF0E56">
        <w:rPr>
          <w:rFonts w:cs="Arial"/>
          <w:bCs/>
          <w:i/>
          <w:szCs w:val="16"/>
        </w:rPr>
        <w:t>People with cognitive and mental health impairments in the criminal justice system: Criminal responsibility and consequences</w:t>
      </w:r>
      <w:r w:rsidRPr="00EF0E56">
        <w:rPr>
          <w:rFonts w:cs="Arial"/>
          <w:bCs/>
          <w:szCs w:val="16"/>
        </w:rPr>
        <w:t xml:space="preserve">, Report No 138 (2013) Rec. </w:t>
      </w:r>
      <w:r w:rsidRPr="00EF0E56">
        <w:rPr>
          <w:rFonts w:cs="Arial"/>
        </w:rPr>
        <w:t xml:space="preserve">2.2; Victorian Law Reform Commission, </w:t>
      </w:r>
      <w:r w:rsidRPr="00EF0E56">
        <w:rPr>
          <w:rFonts w:cs="Arial"/>
          <w:i/>
        </w:rPr>
        <w:t>Review of the Crimes (Mental Impairment and Unfitness to be Tried) Act 1997</w:t>
      </w:r>
      <w:r w:rsidRPr="00EF0E56">
        <w:rPr>
          <w:rFonts w:cs="Arial"/>
        </w:rPr>
        <w:t xml:space="preserve"> (Vic), Report No 28 (2014) 89 [3.124]-[3.125]; </w:t>
      </w:r>
      <w:r w:rsidRPr="00EF0E56">
        <w:rPr>
          <w:rFonts w:cs="Arial"/>
          <w:szCs w:val="16"/>
        </w:rPr>
        <w:t xml:space="preserve">Australian Human Rights Commission, </w:t>
      </w:r>
      <w:r w:rsidRPr="00EF0E56">
        <w:rPr>
          <w:rFonts w:cs="Arial"/>
          <w:i/>
          <w:szCs w:val="16"/>
        </w:rPr>
        <w:t>Equal before the law:</w:t>
      </w:r>
      <w:r w:rsidRPr="00EF0E56">
        <w:rPr>
          <w:rFonts w:cs="Arial"/>
          <w:szCs w:val="16"/>
        </w:rPr>
        <w:t xml:space="preserve"> </w:t>
      </w:r>
      <w:r w:rsidRPr="00EF0E56">
        <w:rPr>
          <w:rFonts w:cs="Arial"/>
          <w:i/>
          <w:szCs w:val="16"/>
        </w:rPr>
        <w:t>Towards Disability Justice Strategies</w:t>
      </w:r>
      <w:r w:rsidRPr="00EF0E56">
        <w:rPr>
          <w:rFonts w:cs="Arial"/>
          <w:szCs w:val="16"/>
        </w:rPr>
        <w:t xml:space="preserve"> (February 2014) </w:t>
      </w:r>
      <w:r w:rsidRPr="00EF0E56">
        <w:rPr>
          <w:rFonts w:cs="Arial"/>
        </w:rPr>
        <w:t>199-200 [7.35]-[7.40], Rec 7—1; Department of the Attorney-General, Review of the Criminal law (Mentally Impaired Accused) Act 1998: Final Report, Government of Western Australia (April 2016) 73, 74.</w:t>
      </w:r>
    </w:p>
  </w:footnote>
  <w:footnote w:id="53">
    <w:p w14:paraId="59CE5A0B" w14:textId="77777777" w:rsidR="009D4E64" w:rsidRDefault="009D4E64" w:rsidP="00EC4B9A">
      <w:pPr>
        <w:pStyle w:val="FootnoteText"/>
        <w:spacing w:after="0" w:line="240" w:lineRule="auto"/>
        <w:contextualSpacing/>
      </w:pPr>
      <w:r>
        <w:rPr>
          <w:rStyle w:val="FootnoteReference"/>
        </w:rPr>
        <w:footnoteRef/>
      </w:r>
      <w:r>
        <w:t xml:space="preserve"> </w:t>
      </w:r>
      <w:r w:rsidRPr="00794788">
        <w:t xml:space="preserve">Judicial College of Victoria, </w:t>
      </w:r>
      <w:r w:rsidRPr="00794788">
        <w:rPr>
          <w:i/>
        </w:rPr>
        <w:t xml:space="preserve">Disability Access Bench Book </w:t>
      </w:r>
      <w:r w:rsidRPr="00794788">
        <w:t xml:space="preserve">(2016) </w:t>
      </w:r>
      <w:proofErr w:type="spellStart"/>
      <w:r w:rsidRPr="00794788">
        <w:t>ss</w:t>
      </w:r>
      <w:proofErr w:type="spellEnd"/>
      <w:r w:rsidRPr="00794788">
        <w:t xml:space="preserve"> 3.3, 5.6.1, 5.7, 5.9, 5.10, 5.19, 5.20.1, 5.20.2, 5.21.</w:t>
      </w:r>
    </w:p>
  </w:footnote>
  <w:footnote w:id="54">
    <w:p w14:paraId="5C612E9D" w14:textId="77777777" w:rsidR="009D4E64" w:rsidRPr="006B5E54" w:rsidRDefault="009D4E64" w:rsidP="00EC4B9A">
      <w:pPr>
        <w:pStyle w:val="FootnoteText"/>
        <w:spacing w:after="0" w:line="240" w:lineRule="auto"/>
        <w:contextualSpacing/>
        <w:rPr>
          <w:rFonts w:cs="Arial"/>
        </w:rPr>
      </w:pPr>
      <w:r w:rsidRPr="006B5E54">
        <w:rPr>
          <w:rStyle w:val="FootnoteReference"/>
          <w:rFonts w:cs="Arial"/>
        </w:rPr>
        <w:footnoteRef/>
      </w:r>
      <w:r w:rsidRPr="006B5E54">
        <w:rPr>
          <w:rFonts w:cs="Arial"/>
        </w:rPr>
        <w:t xml:space="preserve"> See, </w:t>
      </w:r>
      <w:proofErr w:type="spellStart"/>
      <w:r w:rsidRPr="006B5E54">
        <w:rPr>
          <w:rFonts w:cs="Arial"/>
        </w:rPr>
        <w:t>eg</w:t>
      </w:r>
      <w:proofErr w:type="spellEnd"/>
      <w:r w:rsidRPr="006B5E54">
        <w:rPr>
          <w:rFonts w:cs="Arial"/>
        </w:rPr>
        <w:t xml:space="preserve">, </w:t>
      </w:r>
      <w:r w:rsidRPr="006B5E54">
        <w:rPr>
          <w:rFonts w:cs="Arial"/>
          <w:i/>
        </w:rPr>
        <w:t xml:space="preserve">GAE v Western Australia </w:t>
      </w:r>
      <w:r w:rsidRPr="006B5E54">
        <w:rPr>
          <w:rFonts w:cs="Arial"/>
          <w:szCs w:val="16"/>
        </w:rPr>
        <w:t xml:space="preserve">[2011] EWCA Crim 443; </w:t>
      </w:r>
      <w:r w:rsidRPr="006B5E54">
        <w:rPr>
          <w:rFonts w:cs="Arial"/>
          <w:i/>
        </w:rPr>
        <w:t xml:space="preserve">R v JG </w:t>
      </w:r>
      <w:r w:rsidRPr="006B5E54">
        <w:rPr>
          <w:rFonts w:cs="Arial"/>
          <w:szCs w:val="16"/>
        </w:rPr>
        <w:t>[2014] ACTSC 120 [14].</w:t>
      </w:r>
    </w:p>
  </w:footnote>
  <w:footnote w:id="55">
    <w:p w14:paraId="174615FA" w14:textId="77777777" w:rsidR="009D4E64" w:rsidRPr="006B5E54" w:rsidRDefault="009D4E64" w:rsidP="00EC4B9A">
      <w:pPr>
        <w:pStyle w:val="FootnoteText"/>
        <w:spacing w:after="0" w:line="240" w:lineRule="auto"/>
        <w:contextualSpacing/>
        <w:rPr>
          <w:rFonts w:cs="Arial"/>
        </w:rPr>
      </w:pPr>
      <w:r w:rsidRPr="006B5E54">
        <w:rPr>
          <w:rStyle w:val="FootnoteReference"/>
          <w:rFonts w:cs="Arial"/>
        </w:rPr>
        <w:footnoteRef/>
      </w:r>
      <w:r w:rsidRPr="006B5E54">
        <w:rPr>
          <w:rFonts w:cs="Arial"/>
        </w:rPr>
        <w:t xml:space="preserve"> See, </w:t>
      </w:r>
      <w:proofErr w:type="spellStart"/>
      <w:r w:rsidRPr="006B5E54">
        <w:rPr>
          <w:rFonts w:cs="Arial"/>
        </w:rPr>
        <w:t>eg</w:t>
      </w:r>
      <w:proofErr w:type="spellEnd"/>
      <w:r w:rsidRPr="006B5E54">
        <w:rPr>
          <w:rFonts w:cs="Arial"/>
        </w:rPr>
        <w:t xml:space="preserve">, </w:t>
      </w:r>
      <w:r w:rsidRPr="006B5E54">
        <w:rPr>
          <w:rFonts w:cs="Arial"/>
          <w:i/>
        </w:rPr>
        <w:t xml:space="preserve">R v JG </w:t>
      </w:r>
      <w:r w:rsidRPr="006B5E54">
        <w:rPr>
          <w:rFonts w:cs="Arial"/>
          <w:szCs w:val="16"/>
        </w:rPr>
        <w:t xml:space="preserve">[2014] SASCFC 112; </w:t>
      </w:r>
      <w:r w:rsidRPr="006B5E54">
        <w:rPr>
          <w:rFonts w:cs="Arial"/>
          <w:i/>
        </w:rPr>
        <w:t xml:space="preserve">R v Muller </w:t>
      </w:r>
      <w:r w:rsidRPr="006B5E54">
        <w:rPr>
          <w:rFonts w:cs="Arial"/>
          <w:szCs w:val="16"/>
        </w:rPr>
        <w:t>[2013] ACTSC 154.</w:t>
      </w:r>
    </w:p>
  </w:footnote>
  <w:footnote w:id="56">
    <w:p w14:paraId="76C5E299" w14:textId="77777777" w:rsidR="009D4E64" w:rsidRPr="006B5E54" w:rsidRDefault="009D4E64" w:rsidP="00EC4B9A">
      <w:pPr>
        <w:pStyle w:val="FootnoteText"/>
        <w:spacing w:after="0" w:line="240" w:lineRule="auto"/>
        <w:ind w:left="0" w:firstLine="0"/>
        <w:contextualSpacing/>
        <w:rPr>
          <w:rFonts w:cs="Arial"/>
          <w:szCs w:val="16"/>
        </w:rPr>
      </w:pPr>
      <w:r w:rsidRPr="006B5E54">
        <w:rPr>
          <w:rStyle w:val="FootnoteReference"/>
          <w:rFonts w:cs="Arial"/>
          <w:szCs w:val="16"/>
        </w:rPr>
        <w:footnoteRef/>
      </w:r>
      <w:r w:rsidRPr="006B5E54">
        <w:rPr>
          <w:rFonts w:cs="Arial"/>
          <w:szCs w:val="16"/>
        </w:rPr>
        <w:t xml:space="preserve"> See </w:t>
      </w:r>
      <w:proofErr w:type="spellStart"/>
      <w:r w:rsidRPr="006B5E54">
        <w:rPr>
          <w:rFonts w:cs="Arial"/>
          <w:szCs w:val="16"/>
        </w:rPr>
        <w:t>eg</w:t>
      </w:r>
      <w:proofErr w:type="spellEnd"/>
      <w:r w:rsidRPr="006B5E54">
        <w:rPr>
          <w:rFonts w:cs="Arial"/>
          <w:szCs w:val="16"/>
        </w:rPr>
        <w:t xml:space="preserve">, </w:t>
      </w:r>
      <w:r w:rsidRPr="006B5E54">
        <w:rPr>
          <w:rFonts w:cs="Arial"/>
          <w:i/>
          <w:szCs w:val="16"/>
        </w:rPr>
        <w:t xml:space="preserve">Crimes Act 1914 </w:t>
      </w:r>
      <w:r w:rsidRPr="006B5E54">
        <w:rPr>
          <w:rFonts w:cs="Arial"/>
          <w:szCs w:val="16"/>
        </w:rPr>
        <w:t>(</w:t>
      </w:r>
      <w:proofErr w:type="spellStart"/>
      <w:r w:rsidRPr="006B5E54">
        <w:rPr>
          <w:rFonts w:cs="Arial"/>
          <w:szCs w:val="16"/>
        </w:rPr>
        <w:t>Cth</w:t>
      </w:r>
      <w:proofErr w:type="spellEnd"/>
      <w:r w:rsidRPr="006B5E54">
        <w:rPr>
          <w:rFonts w:cs="Arial"/>
          <w:szCs w:val="16"/>
        </w:rPr>
        <w:t xml:space="preserve">) s 15YAB; </w:t>
      </w:r>
      <w:r w:rsidRPr="006B5E54">
        <w:rPr>
          <w:rFonts w:cs="Arial"/>
          <w:i/>
          <w:szCs w:val="16"/>
        </w:rPr>
        <w:t xml:space="preserve">Evidence (Children and Special Witnesses) Act 2001 </w:t>
      </w:r>
      <w:r w:rsidRPr="006B5E54">
        <w:rPr>
          <w:rFonts w:cs="Arial"/>
          <w:szCs w:val="16"/>
        </w:rPr>
        <w:t>(</w:t>
      </w:r>
      <w:proofErr w:type="spellStart"/>
      <w:r w:rsidRPr="006B5E54">
        <w:rPr>
          <w:rFonts w:cs="Arial"/>
          <w:szCs w:val="16"/>
        </w:rPr>
        <w:t>Tas</w:t>
      </w:r>
      <w:proofErr w:type="spellEnd"/>
      <w:r w:rsidRPr="006B5E54">
        <w:rPr>
          <w:rFonts w:cs="Arial"/>
          <w:szCs w:val="16"/>
        </w:rPr>
        <w:t xml:space="preserve">) s 8; </w:t>
      </w:r>
      <w:r w:rsidRPr="006B5E54">
        <w:rPr>
          <w:rFonts w:cs="Arial"/>
          <w:i/>
          <w:szCs w:val="16"/>
        </w:rPr>
        <w:t>Evidence Act 1977</w:t>
      </w:r>
      <w:r w:rsidRPr="006B5E54">
        <w:rPr>
          <w:rFonts w:cs="Arial"/>
          <w:szCs w:val="16"/>
        </w:rPr>
        <w:t xml:space="preserve"> (Qld) s 21</w:t>
      </w:r>
      <w:proofErr w:type="gramStart"/>
      <w:r w:rsidRPr="006B5E54">
        <w:rPr>
          <w:rFonts w:cs="Arial"/>
          <w:szCs w:val="16"/>
        </w:rPr>
        <w:t>A(</w:t>
      </w:r>
      <w:proofErr w:type="gramEnd"/>
      <w:r w:rsidRPr="006B5E54">
        <w:rPr>
          <w:rFonts w:cs="Arial"/>
          <w:szCs w:val="16"/>
        </w:rPr>
        <w:t xml:space="preserve">1); </w:t>
      </w:r>
      <w:r w:rsidRPr="006B5E54">
        <w:rPr>
          <w:rFonts w:cs="Arial"/>
          <w:i/>
          <w:szCs w:val="16"/>
        </w:rPr>
        <w:t xml:space="preserve">Evidence Act 1906 </w:t>
      </w:r>
      <w:r w:rsidRPr="006B5E54">
        <w:rPr>
          <w:rFonts w:cs="Arial"/>
          <w:szCs w:val="16"/>
        </w:rPr>
        <w:t xml:space="preserve">(WA) s 106R; </w:t>
      </w:r>
      <w:r w:rsidRPr="006B5E54">
        <w:rPr>
          <w:rFonts w:cs="Arial"/>
          <w:i/>
          <w:szCs w:val="16"/>
        </w:rPr>
        <w:t xml:space="preserve">Evidence Act 1995 </w:t>
      </w:r>
      <w:r w:rsidRPr="006B5E54">
        <w:rPr>
          <w:rFonts w:cs="Arial"/>
          <w:szCs w:val="16"/>
        </w:rPr>
        <w:t>(NSW)</w:t>
      </w:r>
      <w:r w:rsidRPr="006B5E54">
        <w:rPr>
          <w:rFonts w:cs="Arial"/>
          <w:i/>
          <w:szCs w:val="16"/>
        </w:rPr>
        <w:t xml:space="preserve"> </w:t>
      </w:r>
      <w:r w:rsidRPr="006B5E54">
        <w:rPr>
          <w:rFonts w:cs="Arial"/>
          <w:szCs w:val="16"/>
        </w:rPr>
        <w:t xml:space="preserve">s 26; </w:t>
      </w:r>
      <w:r w:rsidRPr="006B5E54">
        <w:rPr>
          <w:rFonts w:cs="Arial"/>
          <w:i/>
          <w:szCs w:val="16"/>
        </w:rPr>
        <w:t xml:space="preserve">Evidence Act 2008 </w:t>
      </w:r>
      <w:r w:rsidRPr="006B5E54">
        <w:rPr>
          <w:rFonts w:cs="Arial"/>
          <w:szCs w:val="16"/>
        </w:rPr>
        <w:t xml:space="preserve">(Vic) </w:t>
      </w:r>
      <w:proofErr w:type="spellStart"/>
      <w:r w:rsidRPr="006B5E54">
        <w:rPr>
          <w:rFonts w:cs="Arial"/>
          <w:szCs w:val="16"/>
        </w:rPr>
        <w:t>ss</w:t>
      </w:r>
      <w:proofErr w:type="spellEnd"/>
      <w:r w:rsidRPr="006B5E54">
        <w:rPr>
          <w:rFonts w:cs="Arial"/>
          <w:szCs w:val="16"/>
        </w:rPr>
        <w:t xml:space="preserve"> 11(1), 26; </w:t>
      </w:r>
      <w:r w:rsidRPr="006B5E54">
        <w:rPr>
          <w:rFonts w:cs="Arial"/>
          <w:i/>
          <w:szCs w:val="16"/>
        </w:rPr>
        <w:t>Evidence Act 1929</w:t>
      </w:r>
      <w:r w:rsidRPr="006B5E54">
        <w:rPr>
          <w:rFonts w:cs="Arial"/>
          <w:szCs w:val="16"/>
        </w:rPr>
        <w:t xml:space="preserve"> (SA) </w:t>
      </w:r>
      <w:proofErr w:type="spellStart"/>
      <w:r w:rsidRPr="006B5E54">
        <w:rPr>
          <w:rFonts w:cs="Arial"/>
          <w:szCs w:val="16"/>
        </w:rPr>
        <w:t>ss</w:t>
      </w:r>
      <w:proofErr w:type="spellEnd"/>
      <w:r w:rsidRPr="006B5E54">
        <w:rPr>
          <w:rFonts w:cs="Arial"/>
          <w:szCs w:val="16"/>
        </w:rPr>
        <w:t xml:space="preserve"> 13, 25; </w:t>
      </w:r>
      <w:r w:rsidRPr="006B5E54">
        <w:rPr>
          <w:rFonts w:cs="Arial"/>
          <w:i/>
          <w:szCs w:val="16"/>
        </w:rPr>
        <w:t xml:space="preserve">Evidence Act 2011 </w:t>
      </w:r>
      <w:r w:rsidRPr="006B5E54">
        <w:rPr>
          <w:rFonts w:cs="Arial"/>
          <w:szCs w:val="16"/>
        </w:rPr>
        <w:t xml:space="preserve">(ACT) s 26; </w:t>
      </w:r>
      <w:r w:rsidRPr="006B5E54">
        <w:rPr>
          <w:rFonts w:cs="Arial"/>
          <w:i/>
          <w:szCs w:val="16"/>
        </w:rPr>
        <w:t>Evidence (National Uniform Legislation) Act 2011</w:t>
      </w:r>
      <w:r w:rsidRPr="006B5E54">
        <w:rPr>
          <w:rFonts w:cs="Arial"/>
          <w:szCs w:val="16"/>
        </w:rPr>
        <w:t xml:space="preserve"> (NT) s 11, 26; </w:t>
      </w:r>
      <w:r w:rsidRPr="006B5E54">
        <w:rPr>
          <w:rFonts w:cs="Arial"/>
          <w:i/>
          <w:szCs w:val="16"/>
        </w:rPr>
        <w:t xml:space="preserve">Domestic and Family Violence Act 2007 </w:t>
      </w:r>
      <w:r w:rsidRPr="006B5E54">
        <w:rPr>
          <w:rFonts w:cs="Arial"/>
          <w:szCs w:val="16"/>
        </w:rPr>
        <w:t>(NT) s 104.</w:t>
      </w:r>
    </w:p>
  </w:footnote>
  <w:footnote w:id="57">
    <w:p w14:paraId="2092EC10" w14:textId="77777777" w:rsidR="009D4E64" w:rsidRPr="00BA3C50" w:rsidRDefault="009D4E64" w:rsidP="0072592E">
      <w:pPr>
        <w:pStyle w:val="FootnoteText"/>
        <w:spacing w:after="0"/>
        <w:rPr>
          <w:rFonts w:cs="Arial"/>
          <w:lang w:val="fr-FR"/>
        </w:rPr>
      </w:pPr>
      <w:r w:rsidRPr="006B5E54">
        <w:rPr>
          <w:rStyle w:val="FootnoteReference"/>
          <w:rFonts w:cs="Arial"/>
        </w:rPr>
        <w:footnoteRef/>
      </w:r>
      <w:r w:rsidRPr="00BA3C50">
        <w:rPr>
          <w:rFonts w:cs="Arial"/>
          <w:lang w:val="fr-FR"/>
        </w:rPr>
        <w:t xml:space="preserve"> </w:t>
      </w:r>
      <w:r w:rsidRPr="00BA3C50">
        <w:rPr>
          <w:rFonts w:cs="Arial"/>
          <w:i/>
          <w:lang w:val="fr-FR"/>
        </w:rPr>
        <w:t xml:space="preserve">R v </w:t>
      </w:r>
      <w:proofErr w:type="spellStart"/>
      <w:r w:rsidRPr="00BA3C50">
        <w:rPr>
          <w:rFonts w:cs="Arial"/>
          <w:i/>
          <w:lang w:val="fr-FR"/>
        </w:rPr>
        <w:t>Jake</w:t>
      </w:r>
      <w:proofErr w:type="spellEnd"/>
      <w:r w:rsidRPr="00BA3C50">
        <w:rPr>
          <w:rFonts w:cs="Arial"/>
          <w:i/>
          <w:lang w:val="fr-FR"/>
        </w:rPr>
        <w:t xml:space="preserve"> </w:t>
      </w:r>
      <w:proofErr w:type="spellStart"/>
      <w:r w:rsidRPr="00BA3C50">
        <w:rPr>
          <w:rFonts w:cs="Arial"/>
          <w:i/>
          <w:lang w:val="fr-FR"/>
        </w:rPr>
        <w:t>Fairest</w:t>
      </w:r>
      <w:proofErr w:type="spellEnd"/>
      <w:r w:rsidRPr="00BA3C50">
        <w:rPr>
          <w:rFonts w:cs="Arial"/>
          <w:i/>
          <w:lang w:val="fr-FR"/>
        </w:rPr>
        <w:t xml:space="preserve"> </w:t>
      </w:r>
      <w:r w:rsidRPr="00BA3C50">
        <w:rPr>
          <w:rFonts w:cs="Arial"/>
          <w:szCs w:val="16"/>
          <w:lang w:val="fr-FR"/>
        </w:rPr>
        <w:t>[2016] VSC 329.</w:t>
      </w:r>
    </w:p>
  </w:footnote>
  <w:footnote w:id="58">
    <w:p w14:paraId="3F76EB9E" w14:textId="77777777" w:rsidR="009D4E64" w:rsidRPr="006B5E54" w:rsidRDefault="009D4E64" w:rsidP="0072592E">
      <w:pPr>
        <w:pStyle w:val="FootnoteText"/>
        <w:spacing w:after="0"/>
        <w:rPr>
          <w:rFonts w:cs="Arial"/>
        </w:rPr>
      </w:pPr>
      <w:r w:rsidRPr="006B5E54">
        <w:rPr>
          <w:rStyle w:val="FootnoteReference"/>
          <w:rFonts w:cs="Arial"/>
        </w:rPr>
        <w:footnoteRef/>
      </w:r>
      <w:r>
        <w:rPr>
          <w:rFonts w:cs="Arial"/>
        </w:rPr>
        <w:t xml:space="preserve"> </w:t>
      </w:r>
      <w:r w:rsidRPr="006B5E54">
        <w:rPr>
          <w:rFonts w:cs="Arial"/>
          <w:i/>
        </w:rPr>
        <w:t xml:space="preserve">GAE v Western Australia </w:t>
      </w:r>
      <w:r w:rsidRPr="006B5E54">
        <w:rPr>
          <w:rFonts w:cs="Arial"/>
          <w:szCs w:val="16"/>
        </w:rPr>
        <w:t>[2011] EWCA Crim 443.</w:t>
      </w:r>
    </w:p>
  </w:footnote>
  <w:footnote w:id="59">
    <w:p w14:paraId="5039E304" w14:textId="77777777" w:rsidR="009D4E64" w:rsidRPr="00EC18CC" w:rsidRDefault="009D4E64" w:rsidP="0072592E">
      <w:pPr>
        <w:pStyle w:val="FootnoteText"/>
        <w:spacing w:after="0"/>
        <w:rPr>
          <w:rFonts w:cs="Arial"/>
          <w:lang w:val="fr-FR"/>
        </w:rPr>
      </w:pPr>
      <w:r w:rsidRPr="006B5E54">
        <w:rPr>
          <w:rStyle w:val="FootnoteReference"/>
          <w:rFonts w:cs="Arial"/>
        </w:rPr>
        <w:footnoteRef/>
      </w:r>
      <w:r w:rsidRPr="00EC18CC">
        <w:rPr>
          <w:rFonts w:cs="Arial"/>
          <w:lang w:val="fr-FR"/>
        </w:rPr>
        <w:t xml:space="preserve"> </w:t>
      </w:r>
      <w:r w:rsidRPr="00EC18CC">
        <w:rPr>
          <w:rFonts w:cs="Arial"/>
          <w:i/>
          <w:lang w:val="fr-FR"/>
        </w:rPr>
        <w:t xml:space="preserve">R v </w:t>
      </w:r>
      <w:proofErr w:type="spellStart"/>
      <w:r w:rsidRPr="00EC18CC">
        <w:rPr>
          <w:rFonts w:cs="Arial"/>
          <w:i/>
          <w:lang w:val="fr-FR"/>
        </w:rPr>
        <w:t>Jake</w:t>
      </w:r>
      <w:proofErr w:type="spellEnd"/>
      <w:r w:rsidRPr="00EC18CC">
        <w:rPr>
          <w:rFonts w:cs="Arial"/>
          <w:i/>
          <w:lang w:val="fr-FR"/>
        </w:rPr>
        <w:t xml:space="preserve"> </w:t>
      </w:r>
      <w:proofErr w:type="spellStart"/>
      <w:r w:rsidRPr="00EC18CC">
        <w:rPr>
          <w:rFonts w:cs="Arial"/>
          <w:i/>
          <w:lang w:val="fr-FR"/>
        </w:rPr>
        <w:t>Fairest</w:t>
      </w:r>
      <w:proofErr w:type="spellEnd"/>
      <w:r w:rsidRPr="00EC18CC">
        <w:rPr>
          <w:rFonts w:cs="Arial"/>
          <w:i/>
          <w:lang w:val="fr-FR"/>
        </w:rPr>
        <w:t xml:space="preserve"> </w:t>
      </w:r>
      <w:r w:rsidRPr="00EC18CC">
        <w:rPr>
          <w:rFonts w:cs="Arial"/>
          <w:szCs w:val="16"/>
          <w:lang w:val="fr-FR"/>
        </w:rPr>
        <w:t>[2016] VSC 329.</w:t>
      </w:r>
    </w:p>
  </w:footnote>
  <w:footnote w:id="60">
    <w:p w14:paraId="57C6E964" w14:textId="77777777" w:rsidR="009D4E64" w:rsidRDefault="009D4E64" w:rsidP="00434F24">
      <w:pPr>
        <w:pStyle w:val="FootnoteText"/>
        <w:spacing w:after="0"/>
      </w:pPr>
      <w:r>
        <w:rPr>
          <w:rStyle w:val="FootnoteReference"/>
        </w:rPr>
        <w:footnoteRef/>
      </w:r>
      <w:r>
        <w:t xml:space="preserve"> </w:t>
      </w:r>
      <w:r w:rsidRPr="009B1224">
        <w:rPr>
          <w:i/>
        </w:rPr>
        <w:t>Charter of Human Rights and Responsibilities Act 2006</w:t>
      </w:r>
      <w:r>
        <w:t xml:space="preserve"> (Vic) s 32.</w:t>
      </w:r>
    </w:p>
  </w:footnote>
  <w:footnote w:id="61">
    <w:p w14:paraId="04F49279" w14:textId="77777777" w:rsidR="009D4E64" w:rsidRDefault="009D4E64" w:rsidP="00434F24">
      <w:pPr>
        <w:pStyle w:val="FootnoteText"/>
        <w:spacing w:after="0"/>
      </w:pPr>
      <w:r>
        <w:rPr>
          <w:rStyle w:val="FootnoteReference"/>
        </w:rPr>
        <w:footnoteRef/>
      </w:r>
      <w:r>
        <w:t xml:space="preserve"> Ibid, s 38.</w:t>
      </w:r>
    </w:p>
  </w:footnote>
  <w:footnote w:id="62">
    <w:p w14:paraId="35A3EA13" w14:textId="77777777" w:rsidR="009D4E64" w:rsidRDefault="009D4E64" w:rsidP="00434F24">
      <w:pPr>
        <w:pStyle w:val="FootnoteText"/>
        <w:spacing w:after="0"/>
      </w:pPr>
      <w:r>
        <w:rPr>
          <w:rStyle w:val="FootnoteReference"/>
        </w:rPr>
        <w:footnoteRef/>
      </w:r>
      <w:r>
        <w:t xml:space="preserve"> Ibid, s 8.</w:t>
      </w:r>
    </w:p>
  </w:footnote>
  <w:footnote w:id="63">
    <w:p w14:paraId="6C57A4A1" w14:textId="77777777" w:rsidR="009D4E64" w:rsidRDefault="009D4E64" w:rsidP="00434F24">
      <w:pPr>
        <w:pStyle w:val="FootnoteText"/>
        <w:spacing w:after="0"/>
      </w:pPr>
      <w:r>
        <w:rPr>
          <w:rStyle w:val="FootnoteReference"/>
        </w:rPr>
        <w:footnoteRef/>
      </w:r>
      <w:r>
        <w:t xml:space="preserve"> Ibid s 10(c).</w:t>
      </w:r>
    </w:p>
  </w:footnote>
  <w:footnote w:id="64">
    <w:p w14:paraId="7953AA7F" w14:textId="77777777" w:rsidR="009D4E64" w:rsidRDefault="009D4E64" w:rsidP="00434F24">
      <w:pPr>
        <w:pStyle w:val="FootnoteText"/>
        <w:spacing w:after="0"/>
      </w:pPr>
      <w:r>
        <w:rPr>
          <w:rStyle w:val="FootnoteReference"/>
        </w:rPr>
        <w:footnoteRef/>
      </w:r>
      <w:r>
        <w:t xml:space="preserve"> Ibid s 12.</w:t>
      </w:r>
    </w:p>
  </w:footnote>
  <w:footnote w:id="65">
    <w:p w14:paraId="19C0CDA3" w14:textId="77777777" w:rsidR="009D4E64" w:rsidRDefault="009D4E64" w:rsidP="00434F24">
      <w:pPr>
        <w:pStyle w:val="FootnoteText"/>
        <w:spacing w:after="0"/>
      </w:pPr>
      <w:r>
        <w:rPr>
          <w:rStyle w:val="FootnoteReference"/>
        </w:rPr>
        <w:footnoteRef/>
      </w:r>
      <w:r>
        <w:t xml:space="preserve"> Ibid, s 13.</w:t>
      </w:r>
    </w:p>
  </w:footnote>
  <w:footnote w:id="66">
    <w:p w14:paraId="149DB7AA" w14:textId="77777777" w:rsidR="009D4E64" w:rsidRDefault="009D4E64" w:rsidP="00434F24">
      <w:pPr>
        <w:pStyle w:val="FootnoteText"/>
        <w:spacing w:after="0"/>
      </w:pPr>
      <w:r>
        <w:rPr>
          <w:rStyle w:val="FootnoteReference"/>
        </w:rPr>
        <w:footnoteRef/>
      </w:r>
      <w:r>
        <w:t xml:space="preserve"> Ibid, s 14.</w:t>
      </w:r>
    </w:p>
  </w:footnote>
  <w:footnote w:id="67">
    <w:p w14:paraId="019BB93F" w14:textId="77777777" w:rsidR="009D4E64" w:rsidRDefault="009D4E64" w:rsidP="00434F24">
      <w:pPr>
        <w:pStyle w:val="FootnoteText"/>
        <w:spacing w:after="0"/>
      </w:pPr>
      <w:r>
        <w:rPr>
          <w:rStyle w:val="FootnoteReference"/>
        </w:rPr>
        <w:footnoteRef/>
      </w:r>
      <w:r>
        <w:t xml:space="preserve"> Ibid s 21.</w:t>
      </w:r>
    </w:p>
  </w:footnote>
  <w:footnote w:id="68">
    <w:p w14:paraId="4E1E5A1C" w14:textId="77777777" w:rsidR="009D4E64" w:rsidRDefault="009D4E64" w:rsidP="00434F24">
      <w:pPr>
        <w:pStyle w:val="FootnoteText"/>
        <w:spacing w:after="0"/>
      </w:pPr>
      <w:r>
        <w:rPr>
          <w:rStyle w:val="FootnoteReference"/>
        </w:rPr>
        <w:footnoteRef/>
      </w:r>
      <w:r>
        <w:t xml:space="preserve"> Ibid s 22.</w:t>
      </w:r>
    </w:p>
  </w:footnote>
  <w:footnote w:id="69">
    <w:p w14:paraId="7D73D529" w14:textId="77777777" w:rsidR="009D4E64" w:rsidRDefault="009D4E64" w:rsidP="00434F24">
      <w:pPr>
        <w:pStyle w:val="FootnoteText"/>
        <w:spacing w:after="0"/>
      </w:pPr>
      <w:r>
        <w:rPr>
          <w:rStyle w:val="FootnoteReference"/>
        </w:rPr>
        <w:footnoteRef/>
      </w:r>
      <w:r>
        <w:t xml:space="preserve"> Ibid s 24.</w:t>
      </w:r>
    </w:p>
  </w:footnote>
  <w:footnote w:id="70">
    <w:p w14:paraId="5FC58E43" w14:textId="77777777" w:rsidR="009D4E64" w:rsidRDefault="009D4E64" w:rsidP="00EC4B9A">
      <w:pPr>
        <w:pStyle w:val="FootnoteText"/>
        <w:spacing w:after="0" w:line="240" w:lineRule="auto"/>
        <w:ind w:left="0" w:firstLine="0"/>
      </w:pPr>
      <w:r>
        <w:rPr>
          <w:rStyle w:val="FootnoteReference"/>
        </w:rPr>
        <w:footnoteRef/>
      </w:r>
      <w:r>
        <w:t xml:space="preserve"> </w:t>
      </w:r>
      <w:r w:rsidRPr="00505C05">
        <w:rPr>
          <w:i/>
        </w:rPr>
        <w:t>International Covenant on Civil and Political Rights</w:t>
      </w:r>
      <w:r>
        <w:t>, art 14. The right of a defendant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w:t>
      </w:r>
    </w:p>
  </w:footnote>
  <w:footnote w:id="71">
    <w:p w14:paraId="38EF90A8" w14:textId="77777777" w:rsidR="009D4E64" w:rsidRDefault="009D4E64" w:rsidP="00EC4B9A">
      <w:pPr>
        <w:pStyle w:val="FootnoteText"/>
        <w:spacing w:after="0" w:line="240" w:lineRule="auto"/>
        <w:ind w:left="0" w:firstLine="0"/>
      </w:pPr>
      <w:r>
        <w:rPr>
          <w:rStyle w:val="FootnoteReference"/>
        </w:rPr>
        <w:footnoteRef/>
      </w:r>
      <w:r>
        <w:t xml:space="preserve"> Australian Law Reform Commission, </w:t>
      </w:r>
      <w:r w:rsidRPr="00C8675A">
        <w:rPr>
          <w:i/>
        </w:rPr>
        <w:t>Traditional Rights and Freedoms— Encroachments by Commonwealth Laws</w:t>
      </w:r>
      <w:r>
        <w:rPr>
          <w:i/>
        </w:rPr>
        <w:t>:</w:t>
      </w:r>
      <w:r w:rsidRPr="00C8675A">
        <w:rPr>
          <w:i/>
        </w:rPr>
        <w:t xml:space="preserve"> Final Report</w:t>
      </w:r>
      <w:r>
        <w:t xml:space="preserve"> (2016) 247-248.</w:t>
      </w:r>
    </w:p>
  </w:footnote>
  <w:footnote w:id="72">
    <w:p w14:paraId="598D6195" w14:textId="77777777" w:rsidR="009D4E64" w:rsidRPr="00FF4D1D" w:rsidRDefault="009D4E64" w:rsidP="00EC4B9A">
      <w:pPr>
        <w:pStyle w:val="FootnoteText"/>
        <w:spacing w:after="0" w:line="240" w:lineRule="auto"/>
      </w:pPr>
      <w:r>
        <w:rPr>
          <w:rStyle w:val="FootnoteReference"/>
        </w:rPr>
        <w:footnoteRef/>
      </w:r>
      <w:r>
        <w:t xml:space="preserve"> </w:t>
      </w:r>
      <w:r>
        <w:rPr>
          <w:i/>
        </w:rPr>
        <w:t>Dietrich</w:t>
      </w:r>
      <w:r>
        <w:t xml:space="preserve"> </w:t>
      </w:r>
      <w:r>
        <w:rPr>
          <w:i/>
        </w:rPr>
        <w:t xml:space="preserve">v The Queen </w:t>
      </w:r>
      <w:r>
        <w:t>(1992) 177 CLR 292, 311 (Mason CJ and McHugh J).</w:t>
      </w:r>
    </w:p>
  </w:footnote>
  <w:footnote w:id="73">
    <w:p w14:paraId="1FE58831" w14:textId="77777777" w:rsidR="009D4E64" w:rsidRDefault="009D4E64" w:rsidP="00EC4B9A">
      <w:pPr>
        <w:pStyle w:val="FootnoteText"/>
        <w:spacing w:after="0" w:line="240" w:lineRule="auto"/>
      </w:pPr>
      <w:r>
        <w:rPr>
          <w:rStyle w:val="FootnoteReference"/>
        </w:rPr>
        <w:footnoteRef/>
      </w:r>
      <w:r>
        <w:t xml:space="preserve"> </w:t>
      </w:r>
      <w:proofErr w:type="spellStart"/>
      <w:r w:rsidRPr="005325E6">
        <w:rPr>
          <w:i/>
        </w:rPr>
        <w:t>Mastsoukatidou</w:t>
      </w:r>
      <w:proofErr w:type="spellEnd"/>
      <w:r w:rsidRPr="005325E6">
        <w:rPr>
          <w:i/>
        </w:rPr>
        <w:t xml:space="preserve">, Maria v Yarra Ranges Council; </w:t>
      </w:r>
      <w:proofErr w:type="spellStart"/>
      <w:r w:rsidRPr="005325E6">
        <w:rPr>
          <w:i/>
        </w:rPr>
        <w:t>Matsoukatidou</w:t>
      </w:r>
      <w:proofErr w:type="spellEnd"/>
      <w:r w:rsidRPr="005325E6">
        <w:rPr>
          <w:i/>
        </w:rPr>
        <w:t>, Betty v Yarra Ranges Council</w:t>
      </w:r>
      <w:r>
        <w:t xml:space="preserve"> [2017] VSC 61.</w:t>
      </w:r>
    </w:p>
  </w:footnote>
  <w:footnote w:id="74">
    <w:p w14:paraId="43A68B54" w14:textId="77777777" w:rsidR="009D4E64" w:rsidRDefault="009D4E64" w:rsidP="00EC4B9A">
      <w:pPr>
        <w:pStyle w:val="FootnoteText"/>
        <w:spacing w:after="0" w:line="240" w:lineRule="auto"/>
        <w:ind w:left="0" w:firstLine="0"/>
      </w:pPr>
      <w:r>
        <w:rPr>
          <w:rStyle w:val="FootnoteReference"/>
        </w:rPr>
        <w:footnoteRef/>
      </w:r>
      <w:r>
        <w:t xml:space="preserve"> Law Council of Australia, </w:t>
      </w:r>
      <w:r w:rsidRPr="00A43D09">
        <w:rPr>
          <w:i/>
        </w:rPr>
        <w:t>Submission 75</w:t>
      </w:r>
      <w:r>
        <w:t xml:space="preserve">, </w:t>
      </w:r>
      <w:r w:rsidRPr="00A43D09">
        <w:t>‘Traditional Rights and Freedoms—Encroachments by Commonwealth Laws</w:t>
      </w:r>
      <w:r>
        <w:t xml:space="preserve"> Interim Report</w:t>
      </w:r>
      <w:r w:rsidRPr="00A43D09">
        <w:t>’</w:t>
      </w:r>
      <w:r>
        <w:t>, Australian Law Reform Commission (2015).</w:t>
      </w:r>
    </w:p>
  </w:footnote>
  <w:footnote w:id="75">
    <w:p w14:paraId="673BF2F3" w14:textId="77777777" w:rsidR="009D4E64" w:rsidRDefault="009D4E64" w:rsidP="005977E0">
      <w:pPr>
        <w:pStyle w:val="FootnoteText"/>
        <w:spacing w:after="0" w:line="240" w:lineRule="auto"/>
      </w:pPr>
      <w:r w:rsidRPr="00F902C2">
        <w:rPr>
          <w:rStyle w:val="FootnoteReference"/>
        </w:rPr>
        <w:footnoteRef/>
      </w:r>
      <w:r w:rsidRPr="00F902C2">
        <w:t xml:space="preserve"> Victorian State Government, Access to Justice Review Volume 2 Report and Recommendations August 2016 431-432. </w:t>
      </w:r>
      <w:r>
        <w:t xml:space="preserve">Accessible online at: </w:t>
      </w:r>
      <w:hyperlink r:id="rId3" w:history="1">
        <w:r w:rsidRPr="00D17942">
          <w:rPr>
            <w:rStyle w:val="Hyperlink"/>
          </w:rPr>
          <w:t>https://engage.vic.gov.au/accesstojustice</w:t>
        </w:r>
      </w:hyperlink>
      <w:r>
        <w:t xml:space="preserve"> </w:t>
      </w:r>
    </w:p>
  </w:footnote>
  <w:footnote w:id="76">
    <w:p w14:paraId="01E44187" w14:textId="77777777" w:rsidR="009D4E64" w:rsidRDefault="009D4E64" w:rsidP="00C46025">
      <w:pPr>
        <w:pStyle w:val="FootnoteText"/>
        <w:spacing w:after="0"/>
      </w:pPr>
      <w:r>
        <w:rPr>
          <w:rStyle w:val="FootnoteReference"/>
        </w:rPr>
        <w:footnoteRef/>
      </w:r>
      <w:r>
        <w:t xml:space="preserve"> Australian Government, Productivity Commission, </w:t>
      </w:r>
      <w:r>
        <w:rPr>
          <w:i/>
        </w:rPr>
        <w:t xml:space="preserve">Access to Justice Arrangements Report </w:t>
      </w:r>
      <w:r>
        <w:t xml:space="preserve">(2014, AGP) Vol 1 at 30. </w:t>
      </w:r>
    </w:p>
  </w:footnote>
  <w:footnote w:id="77">
    <w:p w14:paraId="2CB28514" w14:textId="77777777" w:rsidR="009D4E64" w:rsidRPr="006B5E54" w:rsidRDefault="009D4E64" w:rsidP="00A47F0D">
      <w:pPr>
        <w:pStyle w:val="FootnoteText"/>
        <w:rPr>
          <w:rFonts w:cs="Arial"/>
        </w:rPr>
      </w:pPr>
      <w:r w:rsidRPr="006B5E54">
        <w:rPr>
          <w:rStyle w:val="FootnoteReference"/>
          <w:rFonts w:cs="Arial"/>
        </w:rPr>
        <w:footnoteRef/>
      </w:r>
      <w:r w:rsidRPr="006B5E54">
        <w:rPr>
          <w:rFonts w:cs="Arial"/>
        </w:rPr>
        <w:t xml:space="preserve"> CRPD-C-GC-3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B6A6" w14:textId="77777777" w:rsidR="009D4E64" w:rsidRDefault="00916FE4">
    <w:pPr>
      <w:pStyle w:val="Header"/>
    </w:pPr>
    <w:r>
      <w:rPr>
        <w:noProof/>
      </w:rPr>
      <w:pict w14:anchorId="024F4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772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w14:anchorId="367DE888">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7181" w14:textId="77777777" w:rsidR="009D4E64" w:rsidRPr="009F7B2D" w:rsidRDefault="009D4E64" w:rsidP="004E0688">
    <w:pPr>
      <w:pStyle w:val="Header"/>
      <w:jc w:val="right"/>
    </w:pPr>
    <w:r>
      <w:rPr>
        <w:noProof/>
        <w:lang w:eastAsia="en-AU"/>
      </w:rPr>
      <w:drawing>
        <wp:inline distT="0" distB="0" distL="0" distR="0" wp14:anchorId="174E68BA" wp14:editId="36145E58">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01BC" w14:textId="77777777" w:rsidR="009D4E64" w:rsidRDefault="009D4E64" w:rsidP="006E2882">
    <w:pPr>
      <w:spacing w:before="400"/>
      <w:jc w:val="right"/>
    </w:pPr>
    <w:r>
      <w:rPr>
        <w:noProof/>
        <w:lang w:eastAsia="en-AU"/>
      </w:rPr>
      <w:drawing>
        <wp:inline distT="0" distB="0" distL="0" distR="0" wp14:anchorId="46742757" wp14:editId="7116187B">
          <wp:extent cx="2706370" cy="434975"/>
          <wp:effectExtent l="0" t="0" r="0" b="3175"/>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370" cy="434975"/>
                  </a:xfrm>
                  <a:prstGeom prst="rect">
                    <a:avLst/>
                  </a:prstGeom>
                  <a:noFill/>
                  <a:ln>
                    <a:noFill/>
                  </a:ln>
                </pic:spPr>
              </pic:pic>
            </a:graphicData>
          </a:graphic>
        </wp:inline>
      </w:drawing>
    </w:r>
    <w:r w:rsidR="00916FE4">
      <w:rPr>
        <w:noProof/>
        <w:lang w:eastAsia="en-AU"/>
      </w:rPr>
      <w:pict w14:anchorId="77B62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6704;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A5509" w14:textId="77777777" w:rsidR="009D4E64" w:rsidRPr="009F7B2D" w:rsidRDefault="009D4E64" w:rsidP="005375A4"/>
  <w:p w14:paraId="0E5D0CFE" w14:textId="77777777" w:rsidR="009D4E64" w:rsidRDefault="009D4E6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1195" w14:textId="77777777" w:rsidR="009D4E64" w:rsidRPr="009F7B2D" w:rsidRDefault="009D4E64" w:rsidP="007538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EACF" w14:textId="77777777" w:rsidR="009D4E64" w:rsidRPr="009F7B2D" w:rsidRDefault="009D4E64" w:rsidP="005D5637">
    <w:pPr>
      <w:pStyle w:val="Header"/>
      <w:tabs>
        <w:tab w:val="clear" w:pos="4604"/>
        <w:tab w:val="clear" w:pos="9214"/>
      </w:tabs>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9DAC" w14:textId="77777777" w:rsidR="009D4E64" w:rsidRDefault="009D4E6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EEC65" w14:textId="77777777" w:rsidR="009D4E64" w:rsidRPr="00665568" w:rsidRDefault="009D4E64" w:rsidP="00161EEF">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BB0"/>
    <w:multiLevelType w:val="hybridMultilevel"/>
    <w:tmpl w:val="95429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0280F"/>
    <w:multiLevelType w:val="hybridMultilevel"/>
    <w:tmpl w:val="3DB0E3B8"/>
    <w:lvl w:ilvl="0" w:tplc="2988D46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3" w15:restartNumberingAfterBreak="0">
    <w:nsid w:val="166E3713"/>
    <w:multiLevelType w:val="hybridMultilevel"/>
    <w:tmpl w:val="CCF0A346"/>
    <w:lvl w:ilvl="0" w:tplc="7F5A1966">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C64B35"/>
    <w:multiLevelType w:val="hybridMultilevel"/>
    <w:tmpl w:val="BEBA823E"/>
    <w:lvl w:ilvl="0" w:tplc="BA04DA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6" w15:restartNumberingAfterBreak="0">
    <w:nsid w:val="2AE53B8A"/>
    <w:multiLevelType w:val="hybridMultilevel"/>
    <w:tmpl w:val="D576A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33DF4175"/>
    <w:multiLevelType w:val="hybridMultilevel"/>
    <w:tmpl w:val="EF4615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931AAA"/>
    <w:multiLevelType w:val="hybridMultilevel"/>
    <w:tmpl w:val="B84E3C40"/>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4CB1133"/>
    <w:multiLevelType w:val="hybridMultilevel"/>
    <w:tmpl w:val="AAFE41AE"/>
    <w:lvl w:ilvl="0" w:tplc="E24897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A5A44D5"/>
    <w:multiLevelType w:val="hybridMultilevel"/>
    <w:tmpl w:val="F60A891A"/>
    <w:lvl w:ilvl="0" w:tplc="C0A27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C2314C"/>
    <w:multiLevelType w:val="hybridMultilevel"/>
    <w:tmpl w:val="219EEB0E"/>
    <w:lvl w:ilvl="0" w:tplc="BA04DA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1EE5875"/>
    <w:multiLevelType w:val="hybridMultilevel"/>
    <w:tmpl w:val="B56A3FB4"/>
    <w:lvl w:ilvl="0" w:tplc="876834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C3C43FC"/>
    <w:multiLevelType w:val="hybridMultilevel"/>
    <w:tmpl w:val="F4CE12A0"/>
    <w:lvl w:ilvl="0" w:tplc="5ADC27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0" w15:restartNumberingAfterBreak="0">
    <w:nsid w:val="611B1EA1"/>
    <w:multiLevelType w:val="hybridMultilevel"/>
    <w:tmpl w:val="B5984132"/>
    <w:lvl w:ilvl="0" w:tplc="7DFCAE14">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CB4655"/>
    <w:multiLevelType w:val="hybridMultilevel"/>
    <w:tmpl w:val="C248F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3" w15:restartNumberingAfterBreak="0">
    <w:nsid w:val="64A15325"/>
    <w:multiLevelType w:val="hybridMultilevel"/>
    <w:tmpl w:val="F0967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1D7A24"/>
    <w:multiLevelType w:val="hybridMultilevel"/>
    <w:tmpl w:val="A74C8178"/>
    <w:lvl w:ilvl="0" w:tplc="BA04DA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EC0C1B"/>
    <w:multiLevelType w:val="hybridMultilevel"/>
    <w:tmpl w:val="CC1E300C"/>
    <w:lvl w:ilvl="0" w:tplc="6AB4EA7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14"/>
  </w:num>
  <w:num w:numId="2">
    <w:abstractNumId w:val="7"/>
  </w:num>
  <w:num w:numId="3">
    <w:abstractNumId w:val="17"/>
  </w:num>
  <w:num w:numId="4">
    <w:abstractNumId w:val="15"/>
  </w:num>
  <w:num w:numId="5">
    <w:abstractNumId w:val="21"/>
  </w:num>
  <w:num w:numId="6">
    <w:abstractNumId w:val="23"/>
  </w:num>
  <w:num w:numId="7">
    <w:abstractNumId w:val="6"/>
  </w:num>
  <w:num w:numId="8">
    <w:abstractNumId w:val="18"/>
  </w:num>
  <w:num w:numId="9">
    <w:abstractNumId w:val="20"/>
  </w:num>
  <w:num w:numId="10">
    <w:abstractNumId w:val="10"/>
  </w:num>
  <w:num w:numId="11">
    <w:abstractNumId w:val="25"/>
  </w:num>
  <w:num w:numId="12">
    <w:abstractNumId w:val="8"/>
  </w:num>
  <w:num w:numId="13">
    <w:abstractNumId w:val="9"/>
  </w:num>
  <w:num w:numId="14">
    <w:abstractNumId w:val="24"/>
  </w:num>
  <w:num w:numId="15">
    <w:abstractNumId w:val="4"/>
  </w:num>
  <w:num w:numId="16">
    <w:abstractNumId w:val="13"/>
  </w:num>
  <w:num w:numId="17">
    <w:abstractNumId w:val="12"/>
  </w:num>
  <w:num w:numId="18">
    <w:abstractNumId w:val="16"/>
  </w:num>
  <w:num w:numId="19">
    <w:abstractNumId w:val="1"/>
  </w:num>
  <w:num w:numId="20">
    <w:abstractNumId w:val="3"/>
  </w:num>
  <w:num w:numId="2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AU" w:vendorID="64" w:dllVersion="0" w:nlCheck="1" w:checkStyle="1"/>
  <w:activeWritingStyle w:appName="MSWord" w:lang="en-US" w:vendorID="64" w:dllVersion="0" w:nlCheck="1" w:checkStyle="1"/>
  <w:activeWritingStyle w:appName="MSWord" w:lang="fr-FR" w:vendorID="64" w:dllVersion="0" w:nlCheck="1" w:checkStyle="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2D"/>
    <w:rsid w:val="00000830"/>
    <w:rsid w:val="0000389D"/>
    <w:rsid w:val="00007776"/>
    <w:rsid w:val="00007914"/>
    <w:rsid w:val="00007C99"/>
    <w:rsid w:val="000155A6"/>
    <w:rsid w:val="00022C70"/>
    <w:rsid w:val="00022C83"/>
    <w:rsid w:val="00022F0E"/>
    <w:rsid w:val="00022F62"/>
    <w:rsid w:val="000240FD"/>
    <w:rsid w:val="00030FEA"/>
    <w:rsid w:val="00032AF3"/>
    <w:rsid w:val="00041348"/>
    <w:rsid w:val="0005125F"/>
    <w:rsid w:val="0005492F"/>
    <w:rsid w:val="00055B69"/>
    <w:rsid w:val="00056072"/>
    <w:rsid w:val="00056D16"/>
    <w:rsid w:val="000579AC"/>
    <w:rsid w:val="00060040"/>
    <w:rsid w:val="00060195"/>
    <w:rsid w:val="000610FC"/>
    <w:rsid w:val="00061235"/>
    <w:rsid w:val="0006159B"/>
    <w:rsid w:val="00062699"/>
    <w:rsid w:val="00064B2A"/>
    <w:rsid w:val="00067B4A"/>
    <w:rsid w:val="0008121C"/>
    <w:rsid w:val="00084C6C"/>
    <w:rsid w:val="000954C3"/>
    <w:rsid w:val="000A26E5"/>
    <w:rsid w:val="000A4623"/>
    <w:rsid w:val="000A711A"/>
    <w:rsid w:val="000B02D8"/>
    <w:rsid w:val="000B0AB6"/>
    <w:rsid w:val="000B22AD"/>
    <w:rsid w:val="000B278C"/>
    <w:rsid w:val="000B3A91"/>
    <w:rsid w:val="000B62D9"/>
    <w:rsid w:val="000C0B84"/>
    <w:rsid w:val="000C11A3"/>
    <w:rsid w:val="000C7105"/>
    <w:rsid w:val="000C7264"/>
    <w:rsid w:val="000D41D7"/>
    <w:rsid w:val="000D4F97"/>
    <w:rsid w:val="000E0695"/>
    <w:rsid w:val="000E2DF3"/>
    <w:rsid w:val="000E4B9B"/>
    <w:rsid w:val="000E7142"/>
    <w:rsid w:val="00101CBD"/>
    <w:rsid w:val="00105DC0"/>
    <w:rsid w:val="00114C38"/>
    <w:rsid w:val="00114EE2"/>
    <w:rsid w:val="00115392"/>
    <w:rsid w:val="0011572E"/>
    <w:rsid w:val="00121928"/>
    <w:rsid w:val="00124D25"/>
    <w:rsid w:val="001272B7"/>
    <w:rsid w:val="00130286"/>
    <w:rsid w:val="00141A80"/>
    <w:rsid w:val="00141F59"/>
    <w:rsid w:val="0014270F"/>
    <w:rsid w:val="00145C3D"/>
    <w:rsid w:val="001479F2"/>
    <w:rsid w:val="00151E9E"/>
    <w:rsid w:val="00161406"/>
    <w:rsid w:val="00161EEF"/>
    <w:rsid w:val="00163884"/>
    <w:rsid w:val="00163E3C"/>
    <w:rsid w:val="00164350"/>
    <w:rsid w:val="001719D5"/>
    <w:rsid w:val="00175D56"/>
    <w:rsid w:val="00184E3E"/>
    <w:rsid w:val="00186ACB"/>
    <w:rsid w:val="00186E29"/>
    <w:rsid w:val="001A17AA"/>
    <w:rsid w:val="001B18B5"/>
    <w:rsid w:val="001B270D"/>
    <w:rsid w:val="001B5055"/>
    <w:rsid w:val="001C4BC6"/>
    <w:rsid w:val="001C6535"/>
    <w:rsid w:val="001D027B"/>
    <w:rsid w:val="001D5A3A"/>
    <w:rsid w:val="001E0A52"/>
    <w:rsid w:val="001E48D2"/>
    <w:rsid w:val="001E5143"/>
    <w:rsid w:val="001E5630"/>
    <w:rsid w:val="001E730B"/>
    <w:rsid w:val="001F5717"/>
    <w:rsid w:val="001F6FFA"/>
    <w:rsid w:val="001F7353"/>
    <w:rsid w:val="00212B06"/>
    <w:rsid w:val="0021585A"/>
    <w:rsid w:val="002228E1"/>
    <w:rsid w:val="00234F49"/>
    <w:rsid w:val="00235F46"/>
    <w:rsid w:val="00241904"/>
    <w:rsid w:val="00241FD0"/>
    <w:rsid w:val="002422EB"/>
    <w:rsid w:val="00243203"/>
    <w:rsid w:val="002435C9"/>
    <w:rsid w:val="00245D62"/>
    <w:rsid w:val="0025018C"/>
    <w:rsid w:val="00256541"/>
    <w:rsid w:val="002574E0"/>
    <w:rsid w:val="00262D02"/>
    <w:rsid w:val="0026649B"/>
    <w:rsid w:val="002769FB"/>
    <w:rsid w:val="0028182A"/>
    <w:rsid w:val="0028278E"/>
    <w:rsid w:val="00285AD4"/>
    <w:rsid w:val="0029348C"/>
    <w:rsid w:val="00294136"/>
    <w:rsid w:val="0029727E"/>
    <w:rsid w:val="002A3D1D"/>
    <w:rsid w:val="002A7402"/>
    <w:rsid w:val="002B1804"/>
    <w:rsid w:val="002B4970"/>
    <w:rsid w:val="002B5A59"/>
    <w:rsid w:val="002B60B0"/>
    <w:rsid w:val="002C3DE0"/>
    <w:rsid w:val="002C55A4"/>
    <w:rsid w:val="002D0954"/>
    <w:rsid w:val="002E64B6"/>
    <w:rsid w:val="002F2F27"/>
    <w:rsid w:val="002F60E2"/>
    <w:rsid w:val="0030591D"/>
    <w:rsid w:val="00305D85"/>
    <w:rsid w:val="0030633D"/>
    <w:rsid w:val="00307C02"/>
    <w:rsid w:val="00310AB6"/>
    <w:rsid w:val="003151AD"/>
    <w:rsid w:val="003271C3"/>
    <w:rsid w:val="00343DAA"/>
    <w:rsid w:val="00343DB6"/>
    <w:rsid w:val="00344A35"/>
    <w:rsid w:val="00344C76"/>
    <w:rsid w:val="00346736"/>
    <w:rsid w:val="0035594B"/>
    <w:rsid w:val="0036062C"/>
    <w:rsid w:val="00361855"/>
    <w:rsid w:val="0036511B"/>
    <w:rsid w:val="00366D6D"/>
    <w:rsid w:val="00371282"/>
    <w:rsid w:val="00372327"/>
    <w:rsid w:val="00376112"/>
    <w:rsid w:val="003775EB"/>
    <w:rsid w:val="003806A1"/>
    <w:rsid w:val="00380CE5"/>
    <w:rsid w:val="00381962"/>
    <w:rsid w:val="00383710"/>
    <w:rsid w:val="00384281"/>
    <w:rsid w:val="00384660"/>
    <w:rsid w:val="00387DE3"/>
    <w:rsid w:val="00391B4E"/>
    <w:rsid w:val="003A13F2"/>
    <w:rsid w:val="003A2302"/>
    <w:rsid w:val="003A5726"/>
    <w:rsid w:val="003A6196"/>
    <w:rsid w:val="003A707A"/>
    <w:rsid w:val="003A7C6C"/>
    <w:rsid w:val="003B3762"/>
    <w:rsid w:val="003B6366"/>
    <w:rsid w:val="003C1736"/>
    <w:rsid w:val="003C2F49"/>
    <w:rsid w:val="003C4A7F"/>
    <w:rsid w:val="003C7A7F"/>
    <w:rsid w:val="003D0FC3"/>
    <w:rsid w:val="003D1A00"/>
    <w:rsid w:val="003D29C2"/>
    <w:rsid w:val="003D6047"/>
    <w:rsid w:val="003E17D1"/>
    <w:rsid w:val="003E3B95"/>
    <w:rsid w:val="003E409C"/>
    <w:rsid w:val="003E5D82"/>
    <w:rsid w:val="003F1C1E"/>
    <w:rsid w:val="003F48A9"/>
    <w:rsid w:val="003F55A5"/>
    <w:rsid w:val="003F6005"/>
    <w:rsid w:val="004110D9"/>
    <w:rsid w:val="0041181E"/>
    <w:rsid w:val="00412699"/>
    <w:rsid w:val="00423CC7"/>
    <w:rsid w:val="00423DE6"/>
    <w:rsid w:val="004324A4"/>
    <w:rsid w:val="00433BF0"/>
    <w:rsid w:val="0043413B"/>
    <w:rsid w:val="00434F24"/>
    <w:rsid w:val="004365C6"/>
    <w:rsid w:val="00442077"/>
    <w:rsid w:val="00442DBC"/>
    <w:rsid w:val="00443D7F"/>
    <w:rsid w:val="004460FE"/>
    <w:rsid w:val="0045242F"/>
    <w:rsid w:val="0045272B"/>
    <w:rsid w:val="004527C2"/>
    <w:rsid w:val="0045435F"/>
    <w:rsid w:val="00461AE2"/>
    <w:rsid w:val="00462BA5"/>
    <w:rsid w:val="00462C13"/>
    <w:rsid w:val="004637BC"/>
    <w:rsid w:val="0046548B"/>
    <w:rsid w:val="0047443E"/>
    <w:rsid w:val="0048037C"/>
    <w:rsid w:val="00481371"/>
    <w:rsid w:val="0048739D"/>
    <w:rsid w:val="00493B23"/>
    <w:rsid w:val="00495490"/>
    <w:rsid w:val="00495ED9"/>
    <w:rsid w:val="00496242"/>
    <w:rsid w:val="004A1D13"/>
    <w:rsid w:val="004B12B4"/>
    <w:rsid w:val="004B3664"/>
    <w:rsid w:val="004B7D81"/>
    <w:rsid w:val="004C414D"/>
    <w:rsid w:val="004C48C8"/>
    <w:rsid w:val="004D0D07"/>
    <w:rsid w:val="004D2CAD"/>
    <w:rsid w:val="004D3B12"/>
    <w:rsid w:val="004E031D"/>
    <w:rsid w:val="004E0688"/>
    <w:rsid w:val="004E2C5B"/>
    <w:rsid w:val="004E511B"/>
    <w:rsid w:val="004F0624"/>
    <w:rsid w:val="004F1880"/>
    <w:rsid w:val="004F2CD9"/>
    <w:rsid w:val="004F726A"/>
    <w:rsid w:val="004F7778"/>
    <w:rsid w:val="00501E4C"/>
    <w:rsid w:val="00504FD8"/>
    <w:rsid w:val="00505C05"/>
    <w:rsid w:val="00506A80"/>
    <w:rsid w:val="00515765"/>
    <w:rsid w:val="0051781B"/>
    <w:rsid w:val="005178F0"/>
    <w:rsid w:val="00520FB3"/>
    <w:rsid w:val="00521801"/>
    <w:rsid w:val="0052709A"/>
    <w:rsid w:val="005272D5"/>
    <w:rsid w:val="005314CA"/>
    <w:rsid w:val="00531FEB"/>
    <w:rsid w:val="005325E6"/>
    <w:rsid w:val="00534BC5"/>
    <w:rsid w:val="005367C1"/>
    <w:rsid w:val="00537002"/>
    <w:rsid w:val="005375A4"/>
    <w:rsid w:val="00546505"/>
    <w:rsid w:val="0054738D"/>
    <w:rsid w:val="00555761"/>
    <w:rsid w:val="0056148F"/>
    <w:rsid w:val="00564233"/>
    <w:rsid w:val="0056464E"/>
    <w:rsid w:val="005658CE"/>
    <w:rsid w:val="00566111"/>
    <w:rsid w:val="00567614"/>
    <w:rsid w:val="00572813"/>
    <w:rsid w:val="005731B6"/>
    <w:rsid w:val="00575E43"/>
    <w:rsid w:val="00580CB6"/>
    <w:rsid w:val="00586766"/>
    <w:rsid w:val="00586883"/>
    <w:rsid w:val="005907EE"/>
    <w:rsid w:val="005924EB"/>
    <w:rsid w:val="005977E0"/>
    <w:rsid w:val="005A01BE"/>
    <w:rsid w:val="005A093A"/>
    <w:rsid w:val="005A4E89"/>
    <w:rsid w:val="005A60F5"/>
    <w:rsid w:val="005A7F72"/>
    <w:rsid w:val="005B2676"/>
    <w:rsid w:val="005B4BAD"/>
    <w:rsid w:val="005C205F"/>
    <w:rsid w:val="005C42F9"/>
    <w:rsid w:val="005C4520"/>
    <w:rsid w:val="005D0D5A"/>
    <w:rsid w:val="005D103A"/>
    <w:rsid w:val="005D1354"/>
    <w:rsid w:val="005D5322"/>
    <w:rsid w:val="005D5435"/>
    <w:rsid w:val="005D5637"/>
    <w:rsid w:val="005E1D7D"/>
    <w:rsid w:val="005E248A"/>
    <w:rsid w:val="005E3CA0"/>
    <w:rsid w:val="005E67B4"/>
    <w:rsid w:val="005F193F"/>
    <w:rsid w:val="005F7D8E"/>
    <w:rsid w:val="0060449D"/>
    <w:rsid w:val="00604558"/>
    <w:rsid w:val="00605C95"/>
    <w:rsid w:val="00606081"/>
    <w:rsid w:val="0060684A"/>
    <w:rsid w:val="006151E7"/>
    <w:rsid w:val="00617F05"/>
    <w:rsid w:val="006238D0"/>
    <w:rsid w:val="006260BB"/>
    <w:rsid w:val="00632B5B"/>
    <w:rsid w:val="00637014"/>
    <w:rsid w:val="00640994"/>
    <w:rsid w:val="006426BC"/>
    <w:rsid w:val="00643E6D"/>
    <w:rsid w:val="00653753"/>
    <w:rsid w:val="00653D29"/>
    <w:rsid w:val="00653DD4"/>
    <w:rsid w:val="00657BC3"/>
    <w:rsid w:val="0066180F"/>
    <w:rsid w:val="00662D62"/>
    <w:rsid w:val="00665568"/>
    <w:rsid w:val="00673296"/>
    <w:rsid w:val="006752F6"/>
    <w:rsid w:val="00675624"/>
    <w:rsid w:val="00675BF8"/>
    <w:rsid w:val="006819A3"/>
    <w:rsid w:val="00681FFC"/>
    <w:rsid w:val="006831FC"/>
    <w:rsid w:val="00683F81"/>
    <w:rsid w:val="00687605"/>
    <w:rsid w:val="00696BAC"/>
    <w:rsid w:val="006A132D"/>
    <w:rsid w:val="006A16AA"/>
    <w:rsid w:val="006A5F7D"/>
    <w:rsid w:val="006A6A7D"/>
    <w:rsid w:val="006B2384"/>
    <w:rsid w:val="006B5E54"/>
    <w:rsid w:val="006B7DD2"/>
    <w:rsid w:val="006B7F37"/>
    <w:rsid w:val="006C0868"/>
    <w:rsid w:val="006C3D4C"/>
    <w:rsid w:val="006C4CA7"/>
    <w:rsid w:val="006C6C8A"/>
    <w:rsid w:val="006D158E"/>
    <w:rsid w:val="006D3BE4"/>
    <w:rsid w:val="006E0F1D"/>
    <w:rsid w:val="006E2882"/>
    <w:rsid w:val="006E2AD6"/>
    <w:rsid w:val="006E2FA2"/>
    <w:rsid w:val="006E3195"/>
    <w:rsid w:val="006E3B12"/>
    <w:rsid w:val="006F2239"/>
    <w:rsid w:val="00707B1D"/>
    <w:rsid w:val="0071134A"/>
    <w:rsid w:val="0071324F"/>
    <w:rsid w:val="00714771"/>
    <w:rsid w:val="00716188"/>
    <w:rsid w:val="007169C5"/>
    <w:rsid w:val="00717AB0"/>
    <w:rsid w:val="007232F5"/>
    <w:rsid w:val="00723ACD"/>
    <w:rsid w:val="0072592E"/>
    <w:rsid w:val="00733602"/>
    <w:rsid w:val="00736267"/>
    <w:rsid w:val="0074272B"/>
    <w:rsid w:val="007443AC"/>
    <w:rsid w:val="007449EE"/>
    <w:rsid w:val="00751D70"/>
    <w:rsid w:val="00752672"/>
    <w:rsid w:val="0075285A"/>
    <w:rsid w:val="00753410"/>
    <w:rsid w:val="007538CC"/>
    <w:rsid w:val="007550FB"/>
    <w:rsid w:val="00756788"/>
    <w:rsid w:val="0075742C"/>
    <w:rsid w:val="007600C3"/>
    <w:rsid w:val="00766C05"/>
    <w:rsid w:val="00772BF0"/>
    <w:rsid w:val="007746EF"/>
    <w:rsid w:val="00774CD5"/>
    <w:rsid w:val="00774F94"/>
    <w:rsid w:val="00775D11"/>
    <w:rsid w:val="00775E15"/>
    <w:rsid w:val="007767BD"/>
    <w:rsid w:val="00776ED8"/>
    <w:rsid w:val="0078022B"/>
    <w:rsid w:val="00781BCD"/>
    <w:rsid w:val="007825F3"/>
    <w:rsid w:val="00783185"/>
    <w:rsid w:val="00793180"/>
    <w:rsid w:val="007933F4"/>
    <w:rsid w:val="00794788"/>
    <w:rsid w:val="007966A5"/>
    <w:rsid w:val="007A284C"/>
    <w:rsid w:val="007B19E1"/>
    <w:rsid w:val="007B5041"/>
    <w:rsid w:val="007B6D12"/>
    <w:rsid w:val="007C32EC"/>
    <w:rsid w:val="007D08B2"/>
    <w:rsid w:val="007D3D09"/>
    <w:rsid w:val="007D612F"/>
    <w:rsid w:val="007D6409"/>
    <w:rsid w:val="007D7535"/>
    <w:rsid w:val="007E0BCC"/>
    <w:rsid w:val="007E0CD2"/>
    <w:rsid w:val="007E1997"/>
    <w:rsid w:val="007E1D43"/>
    <w:rsid w:val="007E4CB8"/>
    <w:rsid w:val="007E54F6"/>
    <w:rsid w:val="007E76DB"/>
    <w:rsid w:val="007F13D5"/>
    <w:rsid w:val="007F52A9"/>
    <w:rsid w:val="00800301"/>
    <w:rsid w:val="0080094A"/>
    <w:rsid w:val="00800C05"/>
    <w:rsid w:val="008117F1"/>
    <w:rsid w:val="00811FE7"/>
    <w:rsid w:val="00813215"/>
    <w:rsid w:val="00817595"/>
    <w:rsid w:val="0082078F"/>
    <w:rsid w:val="00821083"/>
    <w:rsid w:val="00826739"/>
    <w:rsid w:val="008277C1"/>
    <w:rsid w:val="0083009F"/>
    <w:rsid w:val="0083357C"/>
    <w:rsid w:val="008342F7"/>
    <w:rsid w:val="00835928"/>
    <w:rsid w:val="00835DCC"/>
    <w:rsid w:val="008377A1"/>
    <w:rsid w:val="008425B2"/>
    <w:rsid w:val="00842D8F"/>
    <w:rsid w:val="008447DD"/>
    <w:rsid w:val="008450E7"/>
    <w:rsid w:val="00850401"/>
    <w:rsid w:val="008533DB"/>
    <w:rsid w:val="00853A89"/>
    <w:rsid w:val="00853BDA"/>
    <w:rsid w:val="00855D9B"/>
    <w:rsid w:val="00856EC4"/>
    <w:rsid w:val="0085710F"/>
    <w:rsid w:val="00861165"/>
    <w:rsid w:val="008636CA"/>
    <w:rsid w:val="0087671D"/>
    <w:rsid w:val="00876C4A"/>
    <w:rsid w:val="00885238"/>
    <w:rsid w:val="00897563"/>
    <w:rsid w:val="008A067C"/>
    <w:rsid w:val="008A6F14"/>
    <w:rsid w:val="008B304F"/>
    <w:rsid w:val="008B4A47"/>
    <w:rsid w:val="008B6507"/>
    <w:rsid w:val="008B6EEB"/>
    <w:rsid w:val="008C072E"/>
    <w:rsid w:val="008C4E01"/>
    <w:rsid w:val="008C54B5"/>
    <w:rsid w:val="008D3B7F"/>
    <w:rsid w:val="008D3E34"/>
    <w:rsid w:val="008D621D"/>
    <w:rsid w:val="008F0579"/>
    <w:rsid w:val="008F057C"/>
    <w:rsid w:val="008F1F0B"/>
    <w:rsid w:val="008F36EC"/>
    <w:rsid w:val="008F726E"/>
    <w:rsid w:val="00901D82"/>
    <w:rsid w:val="00911151"/>
    <w:rsid w:val="00911DFA"/>
    <w:rsid w:val="00914D73"/>
    <w:rsid w:val="00916FE4"/>
    <w:rsid w:val="00917DE9"/>
    <w:rsid w:val="00925672"/>
    <w:rsid w:val="0093361D"/>
    <w:rsid w:val="0094252E"/>
    <w:rsid w:val="00945E43"/>
    <w:rsid w:val="00946548"/>
    <w:rsid w:val="00953ADC"/>
    <w:rsid w:val="0095636C"/>
    <w:rsid w:val="00957221"/>
    <w:rsid w:val="009642AF"/>
    <w:rsid w:val="00964E26"/>
    <w:rsid w:val="00966F06"/>
    <w:rsid w:val="00972F7E"/>
    <w:rsid w:val="00974DEA"/>
    <w:rsid w:val="009815F2"/>
    <w:rsid w:val="009922E5"/>
    <w:rsid w:val="0099407D"/>
    <w:rsid w:val="00994EEE"/>
    <w:rsid w:val="009A227B"/>
    <w:rsid w:val="009A23DB"/>
    <w:rsid w:val="009A2930"/>
    <w:rsid w:val="009A3C04"/>
    <w:rsid w:val="009A506C"/>
    <w:rsid w:val="009B1224"/>
    <w:rsid w:val="009B21DF"/>
    <w:rsid w:val="009B3FAF"/>
    <w:rsid w:val="009B6378"/>
    <w:rsid w:val="009B7F2E"/>
    <w:rsid w:val="009C1230"/>
    <w:rsid w:val="009C12DD"/>
    <w:rsid w:val="009D0C67"/>
    <w:rsid w:val="009D0F76"/>
    <w:rsid w:val="009D3082"/>
    <w:rsid w:val="009D3968"/>
    <w:rsid w:val="009D4E64"/>
    <w:rsid w:val="009E33C2"/>
    <w:rsid w:val="009E58DA"/>
    <w:rsid w:val="009E6C3F"/>
    <w:rsid w:val="009F0CAE"/>
    <w:rsid w:val="009F2795"/>
    <w:rsid w:val="009F2F9E"/>
    <w:rsid w:val="009F7A4E"/>
    <w:rsid w:val="009F7A60"/>
    <w:rsid w:val="00A00CF9"/>
    <w:rsid w:val="00A134FD"/>
    <w:rsid w:val="00A171DA"/>
    <w:rsid w:val="00A25235"/>
    <w:rsid w:val="00A279DE"/>
    <w:rsid w:val="00A30C8A"/>
    <w:rsid w:val="00A37533"/>
    <w:rsid w:val="00A43D09"/>
    <w:rsid w:val="00A448DA"/>
    <w:rsid w:val="00A47F0D"/>
    <w:rsid w:val="00A513B2"/>
    <w:rsid w:val="00A551BE"/>
    <w:rsid w:val="00A55FDE"/>
    <w:rsid w:val="00A611F8"/>
    <w:rsid w:val="00A61979"/>
    <w:rsid w:val="00A63371"/>
    <w:rsid w:val="00A64F52"/>
    <w:rsid w:val="00A65580"/>
    <w:rsid w:val="00A712DE"/>
    <w:rsid w:val="00A80FFC"/>
    <w:rsid w:val="00A82893"/>
    <w:rsid w:val="00A940C0"/>
    <w:rsid w:val="00A94752"/>
    <w:rsid w:val="00A9584E"/>
    <w:rsid w:val="00A9772D"/>
    <w:rsid w:val="00AA2CCE"/>
    <w:rsid w:val="00AA4396"/>
    <w:rsid w:val="00AA5335"/>
    <w:rsid w:val="00AB3F67"/>
    <w:rsid w:val="00AB6BFF"/>
    <w:rsid w:val="00AC0777"/>
    <w:rsid w:val="00AC1D04"/>
    <w:rsid w:val="00AC2B72"/>
    <w:rsid w:val="00AC464A"/>
    <w:rsid w:val="00AC4857"/>
    <w:rsid w:val="00AD3C1F"/>
    <w:rsid w:val="00AE146B"/>
    <w:rsid w:val="00AE190A"/>
    <w:rsid w:val="00AE1D8D"/>
    <w:rsid w:val="00AF1CE6"/>
    <w:rsid w:val="00AF3DF7"/>
    <w:rsid w:val="00AF56AB"/>
    <w:rsid w:val="00AF5D4C"/>
    <w:rsid w:val="00AF7A60"/>
    <w:rsid w:val="00B0000B"/>
    <w:rsid w:val="00B01519"/>
    <w:rsid w:val="00B07747"/>
    <w:rsid w:val="00B10556"/>
    <w:rsid w:val="00B10A7F"/>
    <w:rsid w:val="00B132D5"/>
    <w:rsid w:val="00B1619F"/>
    <w:rsid w:val="00B21568"/>
    <w:rsid w:val="00B22672"/>
    <w:rsid w:val="00B23F19"/>
    <w:rsid w:val="00B2434A"/>
    <w:rsid w:val="00B25F0F"/>
    <w:rsid w:val="00B266E0"/>
    <w:rsid w:val="00B3125C"/>
    <w:rsid w:val="00B32439"/>
    <w:rsid w:val="00B34A37"/>
    <w:rsid w:val="00B34B65"/>
    <w:rsid w:val="00B357C5"/>
    <w:rsid w:val="00B37955"/>
    <w:rsid w:val="00B41378"/>
    <w:rsid w:val="00B42C4A"/>
    <w:rsid w:val="00B42F7E"/>
    <w:rsid w:val="00B556D7"/>
    <w:rsid w:val="00B56F07"/>
    <w:rsid w:val="00B60A4B"/>
    <w:rsid w:val="00B647BB"/>
    <w:rsid w:val="00B70E99"/>
    <w:rsid w:val="00B71E7D"/>
    <w:rsid w:val="00B728AE"/>
    <w:rsid w:val="00B7585B"/>
    <w:rsid w:val="00B80A72"/>
    <w:rsid w:val="00B8316F"/>
    <w:rsid w:val="00B85EA1"/>
    <w:rsid w:val="00B86D96"/>
    <w:rsid w:val="00B921BF"/>
    <w:rsid w:val="00B9248C"/>
    <w:rsid w:val="00B93DDD"/>
    <w:rsid w:val="00B97009"/>
    <w:rsid w:val="00B97EFB"/>
    <w:rsid w:val="00B97EFF"/>
    <w:rsid w:val="00BA222F"/>
    <w:rsid w:val="00BA3C50"/>
    <w:rsid w:val="00BA4182"/>
    <w:rsid w:val="00BA5712"/>
    <w:rsid w:val="00BA6D49"/>
    <w:rsid w:val="00BB1F72"/>
    <w:rsid w:val="00BB2E00"/>
    <w:rsid w:val="00BB352E"/>
    <w:rsid w:val="00BC18D7"/>
    <w:rsid w:val="00BC4D4B"/>
    <w:rsid w:val="00BC5247"/>
    <w:rsid w:val="00BD1123"/>
    <w:rsid w:val="00BD3924"/>
    <w:rsid w:val="00BD5F1F"/>
    <w:rsid w:val="00BE0E09"/>
    <w:rsid w:val="00BE0E40"/>
    <w:rsid w:val="00BE117B"/>
    <w:rsid w:val="00BE25A1"/>
    <w:rsid w:val="00BE3D27"/>
    <w:rsid w:val="00BE63A6"/>
    <w:rsid w:val="00BE7FD7"/>
    <w:rsid w:val="00BF073A"/>
    <w:rsid w:val="00BF1BDA"/>
    <w:rsid w:val="00BF25BC"/>
    <w:rsid w:val="00BF31F3"/>
    <w:rsid w:val="00BF4C9D"/>
    <w:rsid w:val="00BF55FF"/>
    <w:rsid w:val="00BF6594"/>
    <w:rsid w:val="00C01D35"/>
    <w:rsid w:val="00C0213D"/>
    <w:rsid w:val="00C109F0"/>
    <w:rsid w:val="00C10ECA"/>
    <w:rsid w:val="00C148F9"/>
    <w:rsid w:val="00C149EC"/>
    <w:rsid w:val="00C16A13"/>
    <w:rsid w:val="00C16A43"/>
    <w:rsid w:val="00C171FB"/>
    <w:rsid w:val="00C20338"/>
    <w:rsid w:val="00C22FC4"/>
    <w:rsid w:val="00C245A1"/>
    <w:rsid w:val="00C27D47"/>
    <w:rsid w:val="00C32E3A"/>
    <w:rsid w:val="00C349DD"/>
    <w:rsid w:val="00C455DA"/>
    <w:rsid w:val="00C46025"/>
    <w:rsid w:val="00C4614D"/>
    <w:rsid w:val="00C50B6B"/>
    <w:rsid w:val="00C5490E"/>
    <w:rsid w:val="00C564C2"/>
    <w:rsid w:val="00C568E5"/>
    <w:rsid w:val="00C578A3"/>
    <w:rsid w:val="00C57BAB"/>
    <w:rsid w:val="00C627F5"/>
    <w:rsid w:val="00C62BE0"/>
    <w:rsid w:val="00C70818"/>
    <w:rsid w:val="00C72BFF"/>
    <w:rsid w:val="00C736F5"/>
    <w:rsid w:val="00C74608"/>
    <w:rsid w:val="00C74806"/>
    <w:rsid w:val="00C76860"/>
    <w:rsid w:val="00C7697D"/>
    <w:rsid w:val="00C76ACB"/>
    <w:rsid w:val="00C85211"/>
    <w:rsid w:val="00C8675A"/>
    <w:rsid w:val="00C915FE"/>
    <w:rsid w:val="00C928FF"/>
    <w:rsid w:val="00C95AF4"/>
    <w:rsid w:val="00C96789"/>
    <w:rsid w:val="00C96D88"/>
    <w:rsid w:val="00CA228A"/>
    <w:rsid w:val="00CA4F9B"/>
    <w:rsid w:val="00CA5BC6"/>
    <w:rsid w:val="00CA7422"/>
    <w:rsid w:val="00CB3298"/>
    <w:rsid w:val="00CB37C6"/>
    <w:rsid w:val="00CB5042"/>
    <w:rsid w:val="00CB6506"/>
    <w:rsid w:val="00CB6B54"/>
    <w:rsid w:val="00CC0C03"/>
    <w:rsid w:val="00CC76FD"/>
    <w:rsid w:val="00CC77B0"/>
    <w:rsid w:val="00CE29C1"/>
    <w:rsid w:val="00CE4C2F"/>
    <w:rsid w:val="00CE52ED"/>
    <w:rsid w:val="00CE7245"/>
    <w:rsid w:val="00CE78BA"/>
    <w:rsid w:val="00CF1809"/>
    <w:rsid w:val="00CF6F96"/>
    <w:rsid w:val="00CF77E0"/>
    <w:rsid w:val="00CF7865"/>
    <w:rsid w:val="00D0293C"/>
    <w:rsid w:val="00D0370F"/>
    <w:rsid w:val="00D06A1E"/>
    <w:rsid w:val="00D2112B"/>
    <w:rsid w:val="00D34AE5"/>
    <w:rsid w:val="00D406CC"/>
    <w:rsid w:val="00D43920"/>
    <w:rsid w:val="00D458D3"/>
    <w:rsid w:val="00D47B4C"/>
    <w:rsid w:val="00D51B10"/>
    <w:rsid w:val="00D540C1"/>
    <w:rsid w:val="00D552B2"/>
    <w:rsid w:val="00D55DC1"/>
    <w:rsid w:val="00D60A46"/>
    <w:rsid w:val="00D61809"/>
    <w:rsid w:val="00D622EF"/>
    <w:rsid w:val="00D64351"/>
    <w:rsid w:val="00D64C27"/>
    <w:rsid w:val="00D67FE5"/>
    <w:rsid w:val="00D7143E"/>
    <w:rsid w:val="00D741CA"/>
    <w:rsid w:val="00D76EB7"/>
    <w:rsid w:val="00D77FC5"/>
    <w:rsid w:val="00D8152D"/>
    <w:rsid w:val="00D85976"/>
    <w:rsid w:val="00D86BA1"/>
    <w:rsid w:val="00D86C2C"/>
    <w:rsid w:val="00D86F2D"/>
    <w:rsid w:val="00D87556"/>
    <w:rsid w:val="00D87D5F"/>
    <w:rsid w:val="00D917C3"/>
    <w:rsid w:val="00D9326D"/>
    <w:rsid w:val="00D941FD"/>
    <w:rsid w:val="00D96632"/>
    <w:rsid w:val="00DA15AC"/>
    <w:rsid w:val="00DA253C"/>
    <w:rsid w:val="00DA29C4"/>
    <w:rsid w:val="00DA6E11"/>
    <w:rsid w:val="00DA7AB8"/>
    <w:rsid w:val="00DB14B6"/>
    <w:rsid w:val="00DB3599"/>
    <w:rsid w:val="00DB50F0"/>
    <w:rsid w:val="00DB51EF"/>
    <w:rsid w:val="00DB6BAD"/>
    <w:rsid w:val="00DB7701"/>
    <w:rsid w:val="00DC15D8"/>
    <w:rsid w:val="00DC2052"/>
    <w:rsid w:val="00DC3C22"/>
    <w:rsid w:val="00DD3A95"/>
    <w:rsid w:val="00DD4904"/>
    <w:rsid w:val="00DD6C7D"/>
    <w:rsid w:val="00DD721D"/>
    <w:rsid w:val="00DD78F2"/>
    <w:rsid w:val="00DE16B0"/>
    <w:rsid w:val="00DF4036"/>
    <w:rsid w:val="00DF4E74"/>
    <w:rsid w:val="00E004C5"/>
    <w:rsid w:val="00E00F9A"/>
    <w:rsid w:val="00E1488D"/>
    <w:rsid w:val="00E15C73"/>
    <w:rsid w:val="00E15F96"/>
    <w:rsid w:val="00E16E5B"/>
    <w:rsid w:val="00E17280"/>
    <w:rsid w:val="00E20223"/>
    <w:rsid w:val="00E24A08"/>
    <w:rsid w:val="00E269A5"/>
    <w:rsid w:val="00E36631"/>
    <w:rsid w:val="00E36CAF"/>
    <w:rsid w:val="00E42BB4"/>
    <w:rsid w:val="00E4602F"/>
    <w:rsid w:val="00E50A44"/>
    <w:rsid w:val="00E518E6"/>
    <w:rsid w:val="00E52D83"/>
    <w:rsid w:val="00E54812"/>
    <w:rsid w:val="00E61A54"/>
    <w:rsid w:val="00E6688C"/>
    <w:rsid w:val="00E708F8"/>
    <w:rsid w:val="00E7142E"/>
    <w:rsid w:val="00E72E37"/>
    <w:rsid w:val="00E8483F"/>
    <w:rsid w:val="00E9228F"/>
    <w:rsid w:val="00E927FC"/>
    <w:rsid w:val="00E93019"/>
    <w:rsid w:val="00E96F91"/>
    <w:rsid w:val="00EA1560"/>
    <w:rsid w:val="00EA21F4"/>
    <w:rsid w:val="00EA4432"/>
    <w:rsid w:val="00EB1B22"/>
    <w:rsid w:val="00EC18CC"/>
    <w:rsid w:val="00EC1FF1"/>
    <w:rsid w:val="00EC3306"/>
    <w:rsid w:val="00EC38F8"/>
    <w:rsid w:val="00EC4B9A"/>
    <w:rsid w:val="00EC6B29"/>
    <w:rsid w:val="00EC7F5F"/>
    <w:rsid w:val="00ED04C3"/>
    <w:rsid w:val="00ED14DB"/>
    <w:rsid w:val="00ED2FB8"/>
    <w:rsid w:val="00ED4495"/>
    <w:rsid w:val="00ED5FF7"/>
    <w:rsid w:val="00ED653C"/>
    <w:rsid w:val="00EE1259"/>
    <w:rsid w:val="00EE4332"/>
    <w:rsid w:val="00EE5A70"/>
    <w:rsid w:val="00EE5DC2"/>
    <w:rsid w:val="00EE685D"/>
    <w:rsid w:val="00EF0E56"/>
    <w:rsid w:val="00EF0EE1"/>
    <w:rsid w:val="00EF3A39"/>
    <w:rsid w:val="00EF5C69"/>
    <w:rsid w:val="00EF7DDD"/>
    <w:rsid w:val="00F03063"/>
    <w:rsid w:val="00F066E3"/>
    <w:rsid w:val="00F06BCD"/>
    <w:rsid w:val="00F116E5"/>
    <w:rsid w:val="00F12356"/>
    <w:rsid w:val="00F125E0"/>
    <w:rsid w:val="00F12FA5"/>
    <w:rsid w:val="00F161C6"/>
    <w:rsid w:val="00F20F88"/>
    <w:rsid w:val="00F223C0"/>
    <w:rsid w:val="00F2401B"/>
    <w:rsid w:val="00F244BF"/>
    <w:rsid w:val="00F2554F"/>
    <w:rsid w:val="00F25B9E"/>
    <w:rsid w:val="00F31109"/>
    <w:rsid w:val="00F31F4C"/>
    <w:rsid w:val="00F320FD"/>
    <w:rsid w:val="00F3505A"/>
    <w:rsid w:val="00F37A1E"/>
    <w:rsid w:val="00F42FC3"/>
    <w:rsid w:val="00F470AF"/>
    <w:rsid w:val="00F47938"/>
    <w:rsid w:val="00F47F70"/>
    <w:rsid w:val="00F526FE"/>
    <w:rsid w:val="00F5599A"/>
    <w:rsid w:val="00F6180C"/>
    <w:rsid w:val="00F667C0"/>
    <w:rsid w:val="00F773E8"/>
    <w:rsid w:val="00F77B6C"/>
    <w:rsid w:val="00F80469"/>
    <w:rsid w:val="00F82AB6"/>
    <w:rsid w:val="00F82DEC"/>
    <w:rsid w:val="00F8381F"/>
    <w:rsid w:val="00F83EC1"/>
    <w:rsid w:val="00F84688"/>
    <w:rsid w:val="00F85689"/>
    <w:rsid w:val="00F902C2"/>
    <w:rsid w:val="00F92EA5"/>
    <w:rsid w:val="00F943BF"/>
    <w:rsid w:val="00F94442"/>
    <w:rsid w:val="00F96C67"/>
    <w:rsid w:val="00FB2699"/>
    <w:rsid w:val="00FB3115"/>
    <w:rsid w:val="00FB70AD"/>
    <w:rsid w:val="00FB7C15"/>
    <w:rsid w:val="00FC0492"/>
    <w:rsid w:val="00FC2237"/>
    <w:rsid w:val="00FC7073"/>
    <w:rsid w:val="00FD7E8B"/>
    <w:rsid w:val="00FE2464"/>
    <w:rsid w:val="00FE24F9"/>
    <w:rsid w:val="00FE38EF"/>
    <w:rsid w:val="00FE4540"/>
    <w:rsid w:val="00FE6AD3"/>
    <w:rsid w:val="00FF4D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18640E"/>
  <w15:chartTrackingRefBased/>
  <w15:docId w15:val="{B5E8C4C7-9B31-48AC-9C82-303AEF4C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E76DB"/>
    <w:pPr>
      <w:spacing w:after="120" w:line="300" w:lineRule="atLeast"/>
    </w:pPr>
    <w:rPr>
      <w:rFonts w:ascii="Arial" w:hAnsi="Arial"/>
      <w:sz w:val="22"/>
      <w:szCs w:val="24"/>
      <w:lang w:eastAsia="en-US"/>
    </w:rPr>
  </w:style>
  <w:style w:type="paragraph" w:styleId="Heading1">
    <w:name w:val="heading 1"/>
    <w:next w:val="Normal"/>
    <w:qFormat/>
    <w:rsid w:val="00B10556"/>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F161C6"/>
    <w:pPr>
      <w:keepNext/>
      <w:spacing w:before="240" w:after="120" w:line="300" w:lineRule="atLeast"/>
      <w:outlineLvl w:val="1"/>
    </w:pPr>
    <w:rPr>
      <w:rFonts w:ascii="Arial" w:hAnsi="Arial" w:cs="Arial"/>
      <w:b/>
      <w:bCs/>
      <w:i/>
      <w:iCs/>
      <w:color w:val="971A4B"/>
      <w:sz w:val="28"/>
      <w:szCs w:val="28"/>
    </w:rPr>
  </w:style>
  <w:style w:type="paragraph" w:styleId="Heading3">
    <w:name w:val="heading 3"/>
    <w:next w:val="Normal"/>
    <w:qFormat/>
    <w:rsid w:val="007E76D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7E76DB"/>
    <w:pPr>
      <w:outlineLvl w:val="3"/>
    </w:pPr>
    <w:rPr>
      <w:sz w:val="24"/>
      <w:szCs w:val="24"/>
    </w:rPr>
  </w:style>
  <w:style w:type="paragraph" w:styleId="Heading5">
    <w:name w:val="heading 5"/>
    <w:basedOn w:val="Normal"/>
    <w:qFormat/>
    <w:rsid w:val="007E76DB"/>
    <w:pPr>
      <w:spacing w:before="240"/>
      <w:outlineLvl w:val="4"/>
    </w:pPr>
    <w:rPr>
      <w:b/>
    </w:rPr>
  </w:style>
  <w:style w:type="paragraph" w:styleId="Heading6">
    <w:name w:val="heading 6"/>
    <w:basedOn w:val="Heading5"/>
    <w:next w:val="Normal"/>
    <w:qFormat/>
    <w:rsid w:val="007E76DB"/>
    <w:pPr>
      <w:outlineLvl w:val="5"/>
    </w:pPr>
  </w:style>
  <w:style w:type="paragraph" w:styleId="Heading7">
    <w:name w:val="heading 7"/>
    <w:basedOn w:val="Heading6"/>
    <w:next w:val="Normal"/>
    <w:qFormat/>
    <w:rsid w:val="007E76DB"/>
    <w:pPr>
      <w:outlineLvl w:val="6"/>
    </w:pPr>
  </w:style>
  <w:style w:type="paragraph" w:styleId="Heading8">
    <w:name w:val="heading 8"/>
    <w:basedOn w:val="Heading7"/>
    <w:next w:val="Normal"/>
    <w:qFormat/>
    <w:rsid w:val="007E76DB"/>
    <w:pPr>
      <w:outlineLvl w:val="7"/>
    </w:pPr>
  </w:style>
  <w:style w:type="paragraph" w:styleId="Heading9">
    <w:name w:val="heading 9"/>
    <w:basedOn w:val="Heading8"/>
    <w:next w:val="Normal"/>
    <w:qFormat/>
    <w:rsid w:val="007E7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7E76DB"/>
    <w:pPr>
      <w:spacing w:after="120" w:line="300" w:lineRule="atLeast"/>
    </w:pPr>
    <w:rPr>
      <w:rFonts w:ascii="Arial" w:hAnsi="Arial"/>
      <w:sz w:val="22"/>
      <w:szCs w:val="24"/>
      <w:lang w:eastAsia="en-US"/>
    </w:rPr>
  </w:style>
  <w:style w:type="paragraph" w:styleId="ListBullet">
    <w:name w:val="List Bullet"/>
    <w:rsid w:val="007E76DB"/>
    <w:pPr>
      <w:numPr>
        <w:numId w:val="2"/>
      </w:numPr>
      <w:spacing w:after="120" w:line="300" w:lineRule="atLeast"/>
    </w:pPr>
    <w:rPr>
      <w:rFonts w:ascii="Arial" w:hAnsi="Arial"/>
      <w:sz w:val="22"/>
      <w:szCs w:val="24"/>
      <w:lang w:eastAsia="en-US"/>
    </w:rPr>
  </w:style>
  <w:style w:type="paragraph" w:styleId="ListBullet2">
    <w:name w:val="List Bullet 2"/>
    <w:rsid w:val="007E76DB"/>
    <w:pPr>
      <w:numPr>
        <w:ilvl w:val="1"/>
        <w:numId w:val="3"/>
      </w:numPr>
      <w:spacing w:after="120" w:line="300" w:lineRule="atLeast"/>
    </w:pPr>
    <w:rPr>
      <w:rFonts w:ascii="Arial" w:hAnsi="Arial"/>
      <w:sz w:val="22"/>
      <w:szCs w:val="24"/>
      <w:lang w:eastAsia="en-US"/>
    </w:rPr>
  </w:style>
  <w:style w:type="paragraph" w:styleId="ListBullet3">
    <w:name w:val="List Bullet 3"/>
    <w:rsid w:val="007E76D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7E76DB"/>
    <w:pPr>
      <w:numPr>
        <w:numId w:val="4"/>
      </w:numPr>
      <w:spacing w:after="120" w:line="300" w:lineRule="atLeast"/>
    </w:pPr>
    <w:rPr>
      <w:rFonts w:ascii="Arial" w:hAnsi="Arial"/>
      <w:sz w:val="22"/>
      <w:szCs w:val="24"/>
      <w:lang w:eastAsia="en-US"/>
    </w:rPr>
  </w:style>
  <w:style w:type="paragraph" w:customStyle="1" w:styleId="VLAa">
    <w:name w:val="VLA a."/>
    <w:aliases w:val="b.,c."/>
    <w:rsid w:val="007E76D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7E76D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7E76DB"/>
    <w:rPr>
      <w:b w:val="0"/>
      <w:sz w:val="24"/>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Footnote Text Char1, Char"/>
    <w:basedOn w:val="Normal"/>
    <w:link w:val="FootnoteTextChar"/>
    <w:uiPriority w:val="99"/>
    <w:qFormat/>
    <w:rsid w:val="007E76DB"/>
    <w:pPr>
      <w:ind w:left="284" w:hanging="284"/>
    </w:pPr>
    <w:rPr>
      <w:sz w:val="18"/>
      <w:szCs w:val="20"/>
    </w:rPr>
  </w:style>
  <w:style w:type="paragraph" w:styleId="Header">
    <w:name w:val="header"/>
    <w:rsid w:val="0094252E"/>
    <w:pPr>
      <w:pBdr>
        <w:bottom w:val="single" w:sz="4" w:space="1" w:color="971A4B"/>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94252E"/>
  </w:style>
  <w:style w:type="character" w:styleId="Hyperlink">
    <w:name w:val="Hyperlink"/>
    <w:uiPriority w:val="99"/>
    <w:rsid w:val="007E76DB"/>
    <w:rPr>
      <w:rFonts w:ascii="Arial" w:hAnsi="Arial"/>
      <w:color w:val="0000FF"/>
      <w:u w:val="single"/>
      <w:lang w:val="en-AU"/>
    </w:rPr>
  </w:style>
  <w:style w:type="paragraph" w:styleId="Title">
    <w:name w:val="Title"/>
    <w:qFormat/>
    <w:rsid w:val="0094252E"/>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7E76D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7E76D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7E76DB"/>
    <w:pPr>
      <w:spacing w:after="80"/>
    </w:pPr>
  </w:style>
  <w:style w:type="character" w:styleId="PageNumber">
    <w:name w:val="page number"/>
    <w:semiHidden/>
    <w:rsid w:val="007E76DB"/>
    <w:rPr>
      <w:rFonts w:ascii="Arial" w:hAnsi="Arial"/>
      <w:sz w:val="18"/>
    </w:rPr>
  </w:style>
  <w:style w:type="paragraph" w:customStyle="1" w:styleId="Appendix">
    <w:name w:val="Appendix"/>
    <w:next w:val="Normal"/>
    <w:rsid w:val="0094252E"/>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94252E"/>
    <w:rPr>
      <w:rFonts w:ascii="Arial" w:hAnsi="Arial"/>
    </w:rPr>
  </w:style>
  <w:style w:type="paragraph" w:customStyle="1" w:styleId="VLAsubtitle">
    <w:name w:val="VLA subtitle"/>
    <w:basedOn w:val="Normal"/>
    <w:rsid w:val="007E76DB"/>
    <w:pPr>
      <w:spacing w:before="240" w:after="240" w:line="240" w:lineRule="atLeast"/>
    </w:pPr>
    <w:rPr>
      <w:b/>
      <w:bCs/>
      <w:sz w:val="28"/>
      <w:szCs w:val="28"/>
    </w:rPr>
  </w:style>
  <w:style w:type="paragraph" w:customStyle="1" w:styleId="VLAauthor">
    <w:name w:val="VLA author"/>
    <w:basedOn w:val="Normal"/>
    <w:next w:val="VLAdivision"/>
    <w:rsid w:val="0094252E"/>
    <w:pPr>
      <w:spacing w:before="240" w:after="60"/>
    </w:pPr>
    <w:rPr>
      <w:b/>
      <w:color w:val="971A4B"/>
      <w:sz w:val="28"/>
      <w:szCs w:val="28"/>
      <w:lang w:eastAsia="en-AU"/>
    </w:rPr>
  </w:style>
  <w:style w:type="paragraph" w:customStyle="1" w:styleId="VLAdivision">
    <w:name w:val="VLA division"/>
    <w:basedOn w:val="Normal"/>
    <w:next w:val="VLAauthor"/>
    <w:rsid w:val="0094252E"/>
    <w:pPr>
      <w:spacing w:before="60" w:after="240"/>
    </w:pPr>
    <w:rPr>
      <w:b/>
      <w:color w:val="971A4B"/>
      <w:sz w:val="28"/>
      <w:szCs w:val="28"/>
      <w:lang w:eastAsia="en-AU"/>
    </w:rPr>
  </w:style>
  <w:style w:type="paragraph" w:customStyle="1" w:styleId="VLApublicationdate">
    <w:name w:val="VLA publication date"/>
    <w:basedOn w:val="Normal"/>
    <w:rsid w:val="007E76DB"/>
    <w:pPr>
      <w:spacing w:before="1000"/>
    </w:pPr>
    <w:rPr>
      <w:b/>
      <w:sz w:val="28"/>
      <w:szCs w:val="20"/>
      <w:lang w:eastAsia="en-AU"/>
    </w:rPr>
  </w:style>
  <w:style w:type="paragraph" w:customStyle="1" w:styleId="VLAcaption">
    <w:name w:val="VLA caption"/>
    <w:basedOn w:val="Normal"/>
    <w:next w:val="Normal"/>
    <w:rsid w:val="007E76DB"/>
    <w:rPr>
      <w:i/>
      <w:sz w:val="20"/>
    </w:rPr>
  </w:style>
  <w:style w:type="paragraph" w:customStyle="1" w:styleId="Confidentialityclause">
    <w:name w:val="Confidentiality clause"/>
    <w:rsid w:val="007E76DB"/>
    <w:pPr>
      <w:spacing w:after="120"/>
    </w:pPr>
    <w:rPr>
      <w:rFonts w:ascii="Arial" w:hAnsi="Arial"/>
      <w:bCs/>
      <w:kern w:val="28"/>
      <w:sz w:val="18"/>
      <w:lang w:eastAsia="en-US"/>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Ref"/>
    <w:link w:val="ftref"/>
    <w:uiPriority w:val="99"/>
    <w:qFormat/>
    <w:rsid w:val="007E76DB"/>
    <w:rPr>
      <w:rFonts w:ascii="Arial" w:hAnsi="Arial"/>
      <w:sz w:val="18"/>
      <w:vertAlign w:val="superscript"/>
    </w:rPr>
  </w:style>
  <w:style w:type="paragraph" w:customStyle="1" w:styleId="Filename">
    <w:name w:val="Filename"/>
    <w:basedOn w:val="Normal"/>
    <w:rsid w:val="0094252E"/>
    <w:pPr>
      <w:pBdr>
        <w:top w:val="single" w:sz="4" w:space="1" w:color="971A4B"/>
      </w:pBdr>
      <w:tabs>
        <w:tab w:val="right" w:pos="9240"/>
      </w:tabs>
    </w:pPr>
    <w:rPr>
      <w:sz w:val="18"/>
    </w:rPr>
  </w:style>
  <w:style w:type="paragraph" w:styleId="TOC2">
    <w:name w:val="toc 2"/>
    <w:basedOn w:val="Normal"/>
    <w:next w:val="Normal"/>
    <w:uiPriority w:val="39"/>
    <w:rsid w:val="007E76DB"/>
    <w:pPr>
      <w:tabs>
        <w:tab w:val="right" w:leader="dot" w:pos="9790"/>
      </w:tabs>
      <w:spacing w:before="60" w:after="60"/>
      <w:ind w:left="330" w:right="650"/>
    </w:pPr>
    <w:rPr>
      <w:noProof/>
      <w:sz w:val="20"/>
    </w:rPr>
  </w:style>
  <w:style w:type="paragraph" w:styleId="TOC3">
    <w:name w:val="toc 3"/>
    <w:basedOn w:val="Normal"/>
    <w:next w:val="Normal"/>
    <w:uiPriority w:val="39"/>
    <w:rsid w:val="007E76DB"/>
    <w:pPr>
      <w:tabs>
        <w:tab w:val="right" w:leader="dot" w:pos="9790"/>
      </w:tabs>
      <w:spacing w:before="60" w:after="60"/>
      <w:ind w:left="550" w:right="760"/>
    </w:pPr>
    <w:rPr>
      <w:noProof/>
      <w:sz w:val="20"/>
    </w:rPr>
  </w:style>
  <w:style w:type="paragraph" w:styleId="Footer">
    <w:name w:val="footer"/>
    <w:basedOn w:val="Normal"/>
    <w:rsid w:val="007E76DB"/>
    <w:pPr>
      <w:tabs>
        <w:tab w:val="center" w:pos="4153"/>
        <w:tab w:val="right" w:pos="8306"/>
      </w:tabs>
    </w:pPr>
  </w:style>
  <w:style w:type="paragraph" w:customStyle="1" w:styleId="VLAquotation">
    <w:name w:val="VLA quotation"/>
    <w:basedOn w:val="VLApicture"/>
    <w:rsid w:val="007E76DB"/>
    <w:pPr>
      <w:ind w:left="720"/>
    </w:pPr>
    <w:rPr>
      <w:i/>
    </w:rPr>
  </w:style>
  <w:style w:type="paragraph" w:customStyle="1" w:styleId="VLAdefinition">
    <w:name w:val="VLA definition"/>
    <w:basedOn w:val="Normal"/>
    <w:rsid w:val="007E76DB"/>
    <w:pPr>
      <w:tabs>
        <w:tab w:val="left" w:pos="2268"/>
      </w:tabs>
      <w:spacing w:before="60"/>
      <w:ind w:left="2268" w:hanging="2268"/>
    </w:pPr>
    <w:rPr>
      <w:szCs w:val="22"/>
    </w:rPr>
  </w:style>
  <w:style w:type="character" w:styleId="Strong">
    <w:name w:val="Strong"/>
    <w:qFormat/>
    <w:rsid w:val="007E76DB"/>
    <w:rPr>
      <w:b/>
      <w:bCs/>
    </w:rPr>
  </w:style>
  <w:style w:type="paragraph" w:customStyle="1" w:styleId="NormalBold">
    <w:name w:val="Normal Bold"/>
    <w:basedOn w:val="Normal"/>
    <w:next w:val="Normal"/>
    <w:rsid w:val="00957221"/>
    <w:rPr>
      <w:b/>
      <w:lang w:eastAsia="en-AU"/>
    </w:rPr>
  </w:style>
  <w:style w:type="paragraph" w:customStyle="1" w:styleId="Normalbold0">
    <w:name w:val="Normal bold"/>
    <w:basedOn w:val="Normal"/>
    <w:next w:val="Normal"/>
    <w:rsid w:val="007E76DB"/>
    <w:rPr>
      <w:b/>
      <w:lang w:eastAsia="en-AU"/>
    </w:rPr>
  </w:style>
  <w:style w:type="paragraph" w:customStyle="1" w:styleId="Normalwithborder">
    <w:name w:val="Normal with border"/>
    <w:basedOn w:val="Heading5"/>
    <w:qFormat/>
    <w:rsid w:val="007E76DB"/>
  </w:style>
  <w:style w:type="paragraph" w:customStyle="1" w:styleId="AppendixH1">
    <w:name w:val="Appendix H1"/>
    <w:next w:val="Normal"/>
    <w:rsid w:val="0094252E"/>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94252E"/>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7E76DB"/>
    <w:pPr>
      <w:spacing w:before="120" w:after="40" w:line="300" w:lineRule="atLeast"/>
    </w:pPr>
    <w:rPr>
      <w:rFonts w:ascii="Arial" w:hAnsi="Arial" w:cs="Arial"/>
      <w:b/>
      <w:bCs/>
      <w:sz w:val="24"/>
      <w:szCs w:val="26"/>
    </w:rPr>
  </w:style>
  <w:style w:type="paragraph" w:customStyle="1" w:styleId="Normalwithgreyhighlightbox">
    <w:name w:val="Normal with grey highlight box"/>
    <w:basedOn w:val="Heading4"/>
    <w:qFormat/>
    <w:rsid w:val="007E76DB"/>
  </w:style>
  <w:style w:type="paragraph" w:styleId="ListParagraph">
    <w:name w:val="List Paragraph"/>
    <w:basedOn w:val="Normal"/>
    <w:uiPriority w:val="34"/>
    <w:qFormat/>
    <w:rsid w:val="00000830"/>
    <w:pPr>
      <w:ind w:left="720"/>
      <w:contextualSpacing/>
    </w:pPr>
  </w:style>
  <w:style w:type="paragraph" w:customStyle="1" w:styleId="VLALetterText">
    <w:name w:val="VLA Letter Text"/>
    <w:uiPriority w:val="1"/>
    <w:qFormat/>
    <w:rsid w:val="00D55DC1"/>
    <w:pPr>
      <w:spacing w:after="120" w:line="300" w:lineRule="atLeast"/>
    </w:pPr>
    <w:rPr>
      <w:rFonts w:ascii="Arial" w:hAnsi="Arial"/>
      <w:sz w:val="22"/>
      <w:szCs w:val="24"/>
      <w:lang w:eastAsia="en-US"/>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uiPriority w:val="99"/>
    <w:rsid w:val="00D55DC1"/>
    <w:rPr>
      <w:rFonts w:ascii="Arial" w:hAnsi="Arial"/>
      <w:sz w:val="18"/>
      <w:lang w:eastAsia="en-U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rsid w:val="006B5E54"/>
    <w:pPr>
      <w:spacing w:after="160" w:line="240" w:lineRule="exact"/>
      <w:ind w:firstLine="360"/>
      <w:jc w:val="both"/>
    </w:pPr>
    <w:rPr>
      <w:sz w:val="18"/>
      <w:szCs w:val="20"/>
      <w:vertAlign w:val="superscript"/>
      <w:lang w:eastAsia="en-AU"/>
    </w:rPr>
  </w:style>
  <w:style w:type="paragraph" w:styleId="NormalWeb">
    <w:name w:val="Normal (Web)"/>
    <w:basedOn w:val="Normal"/>
    <w:uiPriority w:val="99"/>
    <w:unhideWhenUsed/>
    <w:rsid w:val="006B5E54"/>
    <w:pPr>
      <w:spacing w:before="100" w:beforeAutospacing="1" w:after="100" w:afterAutospacing="1" w:line="240" w:lineRule="auto"/>
    </w:pPr>
    <w:rPr>
      <w:rFonts w:ascii="Times New Roman" w:hAnsi="Times New Roman"/>
      <w:sz w:val="24"/>
      <w:lang w:eastAsia="en-AU"/>
    </w:rPr>
  </w:style>
  <w:style w:type="paragraph" w:styleId="BalloonText">
    <w:name w:val="Balloon Text"/>
    <w:basedOn w:val="Normal"/>
    <w:link w:val="BalloonTextChar"/>
    <w:semiHidden/>
    <w:unhideWhenUsed/>
    <w:rsid w:val="00BA4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A4182"/>
    <w:rPr>
      <w:rFonts w:ascii="Segoe UI" w:hAnsi="Segoe UI" w:cs="Segoe UI"/>
      <w:sz w:val="18"/>
      <w:szCs w:val="18"/>
      <w:lang w:eastAsia="en-US"/>
    </w:rPr>
  </w:style>
  <w:style w:type="character" w:styleId="CommentReference">
    <w:name w:val="annotation reference"/>
    <w:basedOn w:val="DefaultParagraphFont"/>
    <w:rsid w:val="00256541"/>
    <w:rPr>
      <w:sz w:val="16"/>
      <w:szCs w:val="16"/>
    </w:rPr>
  </w:style>
  <w:style w:type="paragraph" w:styleId="CommentText">
    <w:name w:val="annotation text"/>
    <w:basedOn w:val="Normal"/>
    <w:link w:val="CommentTextChar"/>
    <w:rsid w:val="00256541"/>
    <w:pPr>
      <w:spacing w:line="240" w:lineRule="auto"/>
    </w:pPr>
    <w:rPr>
      <w:sz w:val="20"/>
      <w:szCs w:val="20"/>
    </w:rPr>
  </w:style>
  <w:style w:type="character" w:customStyle="1" w:styleId="CommentTextChar">
    <w:name w:val="Comment Text Char"/>
    <w:basedOn w:val="DefaultParagraphFont"/>
    <w:link w:val="CommentText"/>
    <w:rsid w:val="00256541"/>
    <w:rPr>
      <w:rFonts w:ascii="Arial" w:hAnsi="Arial"/>
      <w:lang w:eastAsia="en-US"/>
    </w:rPr>
  </w:style>
  <w:style w:type="paragraph" w:styleId="CommentSubject">
    <w:name w:val="annotation subject"/>
    <w:basedOn w:val="CommentText"/>
    <w:next w:val="CommentText"/>
    <w:link w:val="CommentSubjectChar"/>
    <w:rsid w:val="00256541"/>
    <w:rPr>
      <w:b/>
      <w:bCs/>
    </w:rPr>
  </w:style>
  <w:style w:type="character" w:customStyle="1" w:styleId="CommentSubjectChar">
    <w:name w:val="Comment Subject Char"/>
    <w:basedOn w:val="CommentTextChar"/>
    <w:link w:val="CommentSubject"/>
    <w:rsid w:val="00256541"/>
    <w:rPr>
      <w:rFonts w:ascii="Arial" w:hAnsi="Arial"/>
      <w:b/>
      <w:bCs/>
      <w:lang w:eastAsia="en-US"/>
    </w:rPr>
  </w:style>
  <w:style w:type="paragraph" w:styleId="Revision">
    <w:name w:val="Revision"/>
    <w:hidden/>
    <w:uiPriority w:val="99"/>
    <w:semiHidden/>
    <w:rsid w:val="0054650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gage.vic.gov.au/accesstojustice" TargetMode="External"/><Relationship Id="rId2" Type="http://schemas.openxmlformats.org/officeDocument/2006/relationships/hyperlink" Target="http://www.lawfoundation.net.au/ljf/site/templates/LAW_AUS/$file/LAW_Survey_Australia.pdf" TargetMode="External"/><Relationship Id="rId1" Type="http://schemas.openxmlformats.org/officeDocument/2006/relationships/hyperlink" Target="https://www.legalaid.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7A6D2-3D4F-4ED8-A312-EB5EE530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5508</Words>
  <Characters>31398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Submission to the Office of the High Commissioner for Human Rights</vt:lpstr>
    </vt:vector>
  </TitlesOfParts>
  <Company>Victoria Legal Aid</Company>
  <LinksUpToDate>false</LinksUpToDate>
  <CharactersWithSpaces>36833</CharactersWithSpaces>
  <SharedDoc>false</SharedDoc>
  <HLinks>
    <vt:vector size="30" baseType="variant">
      <vt:variant>
        <vt:i4>1376260</vt:i4>
      </vt:variant>
      <vt:variant>
        <vt:i4>29</vt:i4>
      </vt:variant>
      <vt:variant>
        <vt:i4>0</vt:i4>
      </vt:variant>
      <vt:variant>
        <vt:i4>5</vt:i4>
      </vt:variant>
      <vt:variant>
        <vt:lpwstr/>
      </vt:variant>
      <vt:variant>
        <vt:lpwstr>_Toc354042750</vt:lpwstr>
      </vt:variant>
      <vt:variant>
        <vt:i4>1310733</vt:i4>
      </vt:variant>
      <vt:variant>
        <vt:i4>23</vt:i4>
      </vt:variant>
      <vt:variant>
        <vt:i4>0</vt:i4>
      </vt:variant>
      <vt:variant>
        <vt:i4>5</vt:i4>
      </vt:variant>
      <vt:variant>
        <vt:lpwstr/>
      </vt:variant>
      <vt:variant>
        <vt:lpwstr>_Toc354042749</vt:lpwstr>
      </vt:variant>
      <vt:variant>
        <vt:i4>1310732</vt:i4>
      </vt:variant>
      <vt:variant>
        <vt:i4>17</vt:i4>
      </vt:variant>
      <vt:variant>
        <vt:i4>0</vt:i4>
      </vt:variant>
      <vt:variant>
        <vt:i4>5</vt:i4>
      </vt:variant>
      <vt:variant>
        <vt:lpwstr/>
      </vt:variant>
      <vt:variant>
        <vt:lpwstr>_Toc354042748</vt:lpwstr>
      </vt:variant>
      <vt:variant>
        <vt:i4>3342364</vt:i4>
      </vt:variant>
      <vt:variant>
        <vt:i4>2977</vt:i4>
      </vt:variant>
      <vt:variant>
        <vt:i4>1026</vt:i4>
      </vt:variant>
      <vt:variant>
        <vt:i4>1</vt:i4>
      </vt:variant>
      <vt:variant>
        <vt:lpwstr>vla_logo</vt:lpwstr>
      </vt:variant>
      <vt:variant>
        <vt:lpwstr/>
      </vt:variant>
      <vt:variant>
        <vt:i4>2687020</vt:i4>
      </vt:variant>
      <vt:variant>
        <vt:i4>2984</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Office of the High Commissioner for Human Rights</dc:title>
  <dc:subject/>
  <dc:creator>Victoria Legal Aid</dc:creator>
  <cp:keywords/>
  <dc:description/>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