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E7" w:rsidRPr="00541DE7" w:rsidRDefault="000945FD" w:rsidP="00F543F5">
      <w:pPr>
        <w:pStyle w:val="Heading1"/>
        <w:spacing w:before="120"/>
      </w:pPr>
      <w:bookmarkStart w:id="0" w:name="_GoBack"/>
      <w:r>
        <w:t>Community Correction Orders</w:t>
      </w:r>
      <w:r w:rsidR="008B0D30">
        <w:t xml:space="preserve"> </w:t>
      </w:r>
      <w:r w:rsidR="00F543F5">
        <w:t xml:space="preserve">from </w:t>
      </w:r>
      <w:r w:rsidR="008B0D30">
        <w:t>20 March 2017</w:t>
      </w:r>
    </w:p>
    <w:bookmarkEnd w:id="0"/>
    <w:p w:rsidR="000B5607" w:rsidRDefault="000B5607" w:rsidP="00226D4E">
      <w:pPr>
        <w:rPr>
          <w:bCs/>
        </w:rPr>
      </w:pPr>
      <w:r>
        <w:rPr>
          <w:bCs/>
        </w:rPr>
        <w:t xml:space="preserve">The </w:t>
      </w:r>
      <w:r w:rsidRPr="00C0255C">
        <w:rPr>
          <w:i/>
        </w:rPr>
        <w:t>Sentencing (Community Correction Order) and Other Acts Amendment</w:t>
      </w:r>
      <w:r w:rsidRPr="00C0255C">
        <w:rPr>
          <w:bCs/>
          <w:i/>
        </w:rPr>
        <w:t xml:space="preserve"> Act 2016</w:t>
      </w:r>
      <w:r w:rsidR="00C0255C">
        <w:rPr>
          <w:bCs/>
        </w:rPr>
        <w:t xml:space="preserve"> </w:t>
      </w:r>
      <w:r w:rsidR="00A17665">
        <w:rPr>
          <w:bCs/>
        </w:rPr>
        <w:t>(</w:t>
      </w:r>
      <w:r w:rsidR="009D3D20">
        <w:rPr>
          <w:bCs/>
        </w:rPr>
        <w:t>‘</w:t>
      </w:r>
      <w:r w:rsidR="006B22BB">
        <w:rPr>
          <w:bCs/>
        </w:rPr>
        <w:t>the</w:t>
      </w:r>
      <w:r w:rsidR="009D3D20">
        <w:rPr>
          <w:bCs/>
        </w:rPr>
        <w:t xml:space="preserve"> Act’) amends the </w:t>
      </w:r>
      <w:r w:rsidR="009D3D20" w:rsidRPr="006B22BB">
        <w:rPr>
          <w:bCs/>
          <w:i/>
        </w:rPr>
        <w:t>Sentencing Act 1991</w:t>
      </w:r>
      <w:r w:rsidR="009D3D20">
        <w:rPr>
          <w:bCs/>
        </w:rPr>
        <w:t xml:space="preserve"> (‘</w:t>
      </w:r>
      <w:r w:rsidR="004A2F01">
        <w:rPr>
          <w:bCs/>
        </w:rPr>
        <w:t>SA</w:t>
      </w:r>
      <w:r w:rsidR="009D3D20">
        <w:rPr>
          <w:bCs/>
        </w:rPr>
        <w:t xml:space="preserve">’). It </w:t>
      </w:r>
      <w:r w:rsidR="00A17665">
        <w:rPr>
          <w:bCs/>
        </w:rPr>
        <w:t>m</w:t>
      </w:r>
      <w:r w:rsidR="00F32FA0">
        <w:rPr>
          <w:bCs/>
        </w:rPr>
        <w:t>ake</w:t>
      </w:r>
      <w:r w:rsidR="009D3D20">
        <w:rPr>
          <w:bCs/>
        </w:rPr>
        <w:t>s</w:t>
      </w:r>
      <w:r w:rsidR="00F32FA0">
        <w:rPr>
          <w:bCs/>
        </w:rPr>
        <w:t xml:space="preserve"> significant chan</w:t>
      </w:r>
      <w:r w:rsidR="007E1623">
        <w:rPr>
          <w:bCs/>
        </w:rPr>
        <w:t>ges to the community correction o</w:t>
      </w:r>
      <w:r w:rsidR="00F32FA0">
        <w:rPr>
          <w:bCs/>
        </w:rPr>
        <w:t>rders</w:t>
      </w:r>
      <w:r w:rsidR="007E1623">
        <w:rPr>
          <w:bCs/>
        </w:rPr>
        <w:t xml:space="preserve"> (CCO)</w:t>
      </w:r>
      <w:r w:rsidR="006D1301">
        <w:rPr>
          <w:bCs/>
        </w:rPr>
        <w:t xml:space="preserve"> by</w:t>
      </w:r>
      <w:r w:rsidR="007E1623">
        <w:rPr>
          <w:bCs/>
        </w:rPr>
        <w:t xml:space="preserve">: </w:t>
      </w:r>
    </w:p>
    <w:p w:rsidR="00F32FA0" w:rsidRDefault="006D1301" w:rsidP="00F32FA0">
      <w:pPr>
        <w:pStyle w:val="ListParagraph"/>
        <w:numPr>
          <w:ilvl w:val="0"/>
          <w:numId w:val="44"/>
        </w:numPr>
        <w:rPr>
          <w:bCs/>
        </w:rPr>
      </w:pPr>
      <w:r>
        <w:rPr>
          <w:bCs/>
        </w:rPr>
        <w:t xml:space="preserve">reducing </w:t>
      </w:r>
      <w:r w:rsidR="00F32FA0" w:rsidRPr="000B5607">
        <w:rPr>
          <w:bCs/>
        </w:rPr>
        <w:t xml:space="preserve">the </w:t>
      </w:r>
      <w:r w:rsidR="007E1623">
        <w:rPr>
          <w:bCs/>
        </w:rPr>
        <w:t xml:space="preserve">maximum </w:t>
      </w:r>
      <w:r w:rsidR="00F32FA0" w:rsidRPr="000B5607">
        <w:rPr>
          <w:bCs/>
        </w:rPr>
        <w:t xml:space="preserve">length of imprisonment that can be combined with a </w:t>
      </w:r>
      <w:r w:rsidR="00F32FA0">
        <w:rPr>
          <w:bCs/>
        </w:rPr>
        <w:t xml:space="preserve">CCO </w:t>
      </w:r>
      <w:r w:rsidR="006B22BB">
        <w:rPr>
          <w:bCs/>
        </w:rPr>
        <w:t xml:space="preserve">from two </w:t>
      </w:r>
      <w:r w:rsidR="00AD5A97">
        <w:rPr>
          <w:bCs/>
        </w:rPr>
        <w:t xml:space="preserve">years </w:t>
      </w:r>
      <w:r w:rsidR="006B22BB">
        <w:rPr>
          <w:bCs/>
        </w:rPr>
        <w:t>to o</w:t>
      </w:r>
      <w:r w:rsidR="00F32FA0">
        <w:rPr>
          <w:bCs/>
        </w:rPr>
        <w:t>ne year</w:t>
      </w:r>
      <w:r w:rsidR="007E1623">
        <w:rPr>
          <w:bCs/>
        </w:rPr>
        <w:t xml:space="preserve"> </w:t>
      </w:r>
    </w:p>
    <w:p w:rsidR="00DD04C2" w:rsidRDefault="006D1301" w:rsidP="000B5607">
      <w:pPr>
        <w:pStyle w:val="ListParagraph"/>
        <w:numPr>
          <w:ilvl w:val="0"/>
          <w:numId w:val="44"/>
        </w:numPr>
        <w:rPr>
          <w:bCs/>
        </w:rPr>
      </w:pPr>
      <w:r>
        <w:rPr>
          <w:bCs/>
        </w:rPr>
        <w:t xml:space="preserve">reducing </w:t>
      </w:r>
      <w:r w:rsidR="00DD04C2">
        <w:rPr>
          <w:bCs/>
        </w:rPr>
        <w:t xml:space="preserve">the maximum length of a CCO that higher court can impose </w:t>
      </w:r>
      <w:r w:rsidR="007E1623">
        <w:rPr>
          <w:bCs/>
        </w:rPr>
        <w:t xml:space="preserve">to </w:t>
      </w:r>
      <w:r w:rsidR="00DD04C2">
        <w:rPr>
          <w:bCs/>
        </w:rPr>
        <w:t>five years</w:t>
      </w:r>
    </w:p>
    <w:p w:rsidR="000B5607" w:rsidRDefault="009D3D20" w:rsidP="000B5607">
      <w:pPr>
        <w:pStyle w:val="ListParagraph"/>
        <w:numPr>
          <w:ilvl w:val="0"/>
          <w:numId w:val="44"/>
        </w:numPr>
        <w:rPr>
          <w:bCs/>
        </w:rPr>
      </w:pPr>
      <w:r>
        <w:rPr>
          <w:bCs/>
        </w:rPr>
        <w:t>prohibiting a</w:t>
      </w:r>
      <w:r w:rsidR="00226D4E" w:rsidRPr="000B5607">
        <w:rPr>
          <w:bCs/>
        </w:rPr>
        <w:t xml:space="preserve"> non-parole period </w:t>
      </w:r>
      <w:r>
        <w:rPr>
          <w:bCs/>
        </w:rPr>
        <w:t xml:space="preserve">being </w:t>
      </w:r>
      <w:r w:rsidR="007E1623">
        <w:rPr>
          <w:bCs/>
        </w:rPr>
        <w:t>fi</w:t>
      </w:r>
      <w:r w:rsidR="00226D4E" w:rsidRPr="000B5607">
        <w:rPr>
          <w:bCs/>
        </w:rPr>
        <w:t xml:space="preserve">xed as part of a combined </w:t>
      </w:r>
      <w:r w:rsidR="00A82C6D">
        <w:rPr>
          <w:bCs/>
        </w:rPr>
        <w:t xml:space="preserve">CCO custody </w:t>
      </w:r>
      <w:r w:rsidR="007E1623">
        <w:rPr>
          <w:bCs/>
        </w:rPr>
        <w:t>order</w:t>
      </w:r>
    </w:p>
    <w:p w:rsidR="00F32FA0" w:rsidRDefault="006D1301" w:rsidP="00F32FA0">
      <w:pPr>
        <w:pStyle w:val="ListParagraph"/>
        <w:numPr>
          <w:ilvl w:val="0"/>
          <w:numId w:val="44"/>
        </w:numPr>
        <w:rPr>
          <w:bCs/>
        </w:rPr>
      </w:pPr>
      <w:r>
        <w:rPr>
          <w:bCs/>
        </w:rPr>
        <w:t xml:space="preserve">restricting </w:t>
      </w:r>
      <w:r w:rsidR="00F32FA0" w:rsidRPr="000B5607">
        <w:rPr>
          <w:bCs/>
        </w:rPr>
        <w:t xml:space="preserve">the availability of </w:t>
      </w:r>
      <w:r w:rsidR="00F32FA0">
        <w:rPr>
          <w:bCs/>
        </w:rPr>
        <w:t xml:space="preserve">CCO </w:t>
      </w:r>
      <w:r w:rsidR="00F32FA0" w:rsidRPr="000B5607">
        <w:rPr>
          <w:bCs/>
        </w:rPr>
        <w:t>and other non-custod</w:t>
      </w:r>
      <w:r w:rsidR="007E1623">
        <w:rPr>
          <w:bCs/>
        </w:rPr>
        <w:t>ial orders f</w:t>
      </w:r>
      <w:r w:rsidR="00F32FA0">
        <w:rPr>
          <w:bCs/>
        </w:rPr>
        <w:t>or serious offences.</w:t>
      </w:r>
    </w:p>
    <w:p w:rsidR="000B5607" w:rsidRDefault="000B5607" w:rsidP="004F1A79">
      <w:pPr>
        <w:spacing w:after="0" w:line="240" w:lineRule="auto"/>
        <w:rPr>
          <w:bCs/>
        </w:rPr>
      </w:pPr>
    </w:p>
    <w:p w:rsidR="007E1623" w:rsidRDefault="004A2F01" w:rsidP="004F1A79">
      <w:pPr>
        <w:spacing w:after="0" w:line="240" w:lineRule="auto"/>
        <w:rPr>
          <w:bCs/>
        </w:rPr>
      </w:pPr>
      <w:r>
        <w:rPr>
          <w:bCs/>
        </w:rPr>
        <w:t>The Act commence</w:t>
      </w:r>
      <w:r w:rsidR="00874E4B">
        <w:rPr>
          <w:bCs/>
        </w:rPr>
        <w:t>d</w:t>
      </w:r>
      <w:r>
        <w:rPr>
          <w:bCs/>
        </w:rPr>
        <w:t xml:space="preserve"> on </w:t>
      </w:r>
      <w:r w:rsidRPr="004A2F01">
        <w:rPr>
          <w:bCs/>
        </w:rPr>
        <w:t>20 March 2017</w:t>
      </w:r>
      <w:r>
        <w:rPr>
          <w:bCs/>
        </w:rPr>
        <w:t xml:space="preserve">. </w:t>
      </w:r>
      <w:r w:rsidR="003C3499">
        <w:rPr>
          <w:bCs/>
        </w:rPr>
        <w:t>S</w:t>
      </w:r>
      <w:r w:rsidR="009D3D20">
        <w:rPr>
          <w:bCs/>
        </w:rPr>
        <w:t xml:space="preserve">ome changes apply to </w:t>
      </w:r>
      <w:r w:rsidR="00C0255C">
        <w:rPr>
          <w:bCs/>
        </w:rPr>
        <w:t xml:space="preserve">all </w:t>
      </w:r>
      <w:r w:rsidR="009D3D20">
        <w:rPr>
          <w:bCs/>
        </w:rPr>
        <w:t xml:space="preserve">sentences imposed </w:t>
      </w:r>
      <w:r w:rsidR="006B22BB">
        <w:rPr>
          <w:bCs/>
        </w:rPr>
        <w:t xml:space="preserve">on or </w:t>
      </w:r>
      <w:r w:rsidR="009D3D20">
        <w:rPr>
          <w:bCs/>
        </w:rPr>
        <w:t>after</w:t>
      </w:r>
      <w:r>
        <w:rPr>
          <w:bCs/>
        </w:rPr>
        <w:t xml:space="preserve"> that date</w:t>
      </w:r>
      <w:r w:rsidR="009D3D20">
        <w:rPr>
          <w:bCs/>
        </w:rPr>
        <w:t xml:space="preserve"> (see </w:t>
      </w:r>
      <w:r w:rsidR="003C3499">
        <w:rPr>
          <w:bCs/>
        </w:rPr>
        <w:t>the transitional provisions in s. 17 of the Act</w:t>
      </w:r>
      <w:r w:rsidR="009D3D20">
        <w:rPr>
          <w:bCs/>
        </w:rPr>
        <w:t>.</w:t>
      </w:r>
      <w:r w:rsidR="00C0255C">
        <w:rPr>
          <w:bCs/>
        </w:rPr>
        <w:t>)</w:t>
      </w:r>
      <w:r w:rsidR="009D3D20">
        <w:rPr>
          <w:bCs/>
        </w:rPr>
        <w:t xml:space="preserve"> </w:t>
      </w:r>
    </w:p>
    <w:p w:rsidR="00F32FA0" w:rsidRPr="000945FD" w:rsidRDefault="00F32FA0" w:rsidP="00F32FA0">
      <w:pPr>
        <w:pStyle w:val="Heading2"/>
      </w:pPr>
      <w:r w:rsidRPr="000945FD">
        <w:t>Changes to length of CCOs</w:t>
      </w:r>
      <w:r w:rsidR="004A2F01">
        <w:t>, c</w:t>
      </w:r>
      <w:r w:rsidRPr="000945FD">
        <w:t>ombined orders</w:t>
      </w:r>
      <w:r>
        <w:t xml:space="preserve"> </w:t>
      </w:r>
      <w:r w:rsidR="004A2F01">
        <w:t>and non-parole periods</w:t>
      </w:r>
    </w:p>
    <w:p w:rsidR="001742F4" w:rsidRDefault="006B22BB" w:rsidP="00F32FA0">
      <w:r>
        <w:t>The following changes apply to sentences imp</w:t>
      </w:r>
      <w:r w:rsidR="001742F4">
        <w:t xml:space="preserve">osed </w:t>
      </w:r>
      <w:r w:rsidR="001742F4" w:rsidRPr="004A2F01">
        <w:rPr>
          <w:b/>
        </w:rPr>
        <w:t>on or after 20 March 2017</w:t>
      </w:r>
      <w:r w:rsidR="001742F4">
        <w:t>, regardless of when the offence was committed.</w:t>
      </w:r>
    </w:p>
    <w:p w:rsidR="004A2F01" w:rsidRPr="004A2F01" w:rsidRDefault="004A2F01" w:rsidP="00F32FA0">
      <w:pPr>
        <w:rPr>
          <w:b/>
        </w:rPr>
      </w:pPr>
      <w:r w:rsidRPr="004A2F01">
        <w:rPr>
          <w:b/>
        </w:rPr>
        <w:t xml:space="preserve">Combined </w:t>
      </w:r>
      <w:r w:rsidR="003C3499">
        <w:rPr>
          <w:b/>
        </w:rPr>
        <w:t xml:space="preserve">sentence of </w:t>
      </w:r>
      <w:r>
        <w:rPr>
          <w:b/>
        </w:rPr>
        <w:t xml:space="preserve">imprisonment and </w:t>
      </w:r>
      <w:r w:rsidRPr="004A2F01">
        <w:rPr>
          <w:b/>
        </w:rPr>
        <w:t>CCO</w:t>
      </w:r>
      <w:r>
        <w:rPr>
          <w:b/>
        </w:rPr>
        <w:t xml:space="preserve"> </w:t>
      </w:r>
    </w:p>
    <w:p w:rsidR="004A2F01" w:rsidRDefault="006B22BB" w:rsidP="00874E4B">
      <w:r>
        <w:t xml:space="preserve">The </w:t>
      </w:r>
      <w:r w:rsidR="00F32FA0">
        <w:t xml:space="preserve">maximum </w:t>
      </w:r>
      <w:r w:rsidR="00F32FA0" w:rsidRPr="000945FD">
        <w:t xml:space="preserve">period of imprisonment that can be combined with a CCO </w:t>
      </w:r>
      <w:r w:rsidR="00874E4B">
        <w:t xml:space="preserve">is </w:t>
      </w:r>
      <w:r w:rsidR="001742F4">
        <w:t>reduce</w:t>
      </w:r>
      <w:r w:rsidR="00874E4B">
        <w:t>d</w:t>
      </w:r>
      <w:r w:rsidR="001742F4">
        <w:t xml:space="preserve"> </w:t>
      </w:r>
      <w:r w:rsidR="00F32FA0">
        <w:t xml:space="preserve">from two years to one year </w:t>
      </w:r>
      <w:r w:rsidR="00F32FA0" w:rsidRPr="000945FD">
        <w:t>(</w:t>
      </w:r>
      <w:r w:rsidRPr="000945FD">
        <w:t xml:space="preserve">amended </w:t>
      </w:r>
      <w:r w:rsidR="00F32FA0" w:rsidRPr="000945FD">
        <w:t>s. 44(1))</w:t>
      </w:r>
      <w:r>
        <w:t xml:space="preserve"> SA)</w:t>
      </w:r>
      <w:r w:rsidR="00F32FA0" w:rsidRPr="000945FD">
        <w:t>.</w:t>
      </w:r>
      <w:r w:rsidR="001742F4">
        <w:t xml:space="preserve"> </w:t>
      </w:r>
      <w:r w:rsidR="00874E4B">
        <w:t>Th</w:t>
      </w:r>
      <w:r w:rsidR="000A6EE7">
        <w:t>e</w:t>
      </w:r>
      <w:r w:rsidR="00874E4B">
        <w:t xml:space="preserve"> sum of all terms of imprisonment (after deducting of any pre-sentence detention declared under section 18 of the Sentencing Act), must be one year or less. An exception remains for arson offences </w:t>
      </w:r>
      <w:r w:rsidR="001659F4">
        <w:t xml:space="preserve">specified in clause 5 of Schedule 1 of the Sentencing Act. </w:t>
      </w:r>
    </w:p>
    <w:p w:rsidR="00501ED0" w:rsidRPr="00501ED0" w:rsidRDefault="00501ED0" w:rsidP="004A2F01">
      <w:pPr>
        <w:rPr>
          <w:b/>
        </w:rPr>
      </w:pPr>
      <w:r w:rsidRPr="00501ED0">
        <w:rPr>
          <w:b/>
        </w:rPr>
        <w:t xml:space="preserve">Maximum term of imprisonment for multiple offences </w:t>
      </w:r>
    </w:p>
    <w:p w:rsidR="00327682" w:rsidRDefault="00327682" w:rsidP="004A2F01">
      <w:r>
        <w:t>Section 118 of the Sentencing Act provides that the maximum cumulative term of imprisonment that the Magistrates’ Court can impose for several offences is five years. The requirement that the offences be ‘committed at the same time' is removed.</w:t>
      </w:r>
    </w:p>
    <w:p w:rsidR="004A2F01" w:rsidRPr="004A2F01" w:rsidRDefault="004A2F01" w:rsidP="004A2F01">
      <w:pPr>
        <w:rPr>
          <w:b/>
        </w:rPr>
      </w:pPr>
      <w:r w:rsidRPr="004A2F01">
        <w:rPr>
          <w:b/>
        </w:rPr>
        <w:t>Maximum length of CCOs in higher courts</w:t>
      </w:r>
    </w:p>
    <w:p w:rsidR="004A2F01" w:rsidRDefault="001742F4" w:rsidP="004A2F01">
      <w:r>
        <w:t>T</w:t>
      </w:r>
      <w:r w:rsidR="00F32FA0" w:rsidRPr="000945FD">
        <w:t xml:space="preserve">he </w:t>
      </w:r>
      <w:r w:rsidR="00AD5A97">
        <w:t xml:space="preserve">maximum length of a </w:t>
      </w:r>
      <w:r w:rsidR="00F32FA0" w:rsidRPr="000945FD">
        <w:t xml:space="preserve">CCO </w:t>
      </w:r>
      <w:r w:rsidR="00A43DBF">
        <w:t xml:space="preserve">that can be imposed in the </w:t>
      </w:r>
      <w:r w:rsidR="00A43DBF" w:rsidRPr="000945FD">
        <w:t>Count</w:t>
      </w:r>
      <w:r w:rsidR="00A43DBF">
        <w:t xml:space="preserve">y Court or Supreme Court </w:t>
      </w:r>
      <w:r w:rsidR="00F32FA0" w:rsidRPr="000945FD">
        <w:t xml:space="preserve">for one or more offences </w:t>
      </w:r>
      <w:r w:rsidR="00F32FA0">
        <w:t xml:space="preserve">is reduced </w:t>
      </w:r>
      <w:r w:rsidR="00A43DBF">
        <w:t>to f</w:t>
      </w:r>
      <w:r w:rsidR="00A43DBF" w:rsidRPr="000945FD">
        <w:t>ive years</w:t>
      </w:r>
      <w:r w:rsidR="00A43DBF">
        <w:t xml:space="preserve"> </w:t>
      </w:r>
      <w:r w:rsidR="00A43DBF" w:rsidRPr="000945FD">
        <w:t>(amended s. 38(1) (b)</w:t>
      </w:r>
      <w:r w:rsidR="00A43DBF">
        <w:t xml:space="preserve"> SA). </w:t>
      </w:r>
      <w:r w:rsidR="004A2F01">
        <w:t xml:space="preserve">Prior to this change, a CCO could be imposed for </w:t>
      </w:r>
      <w:r w:rsidR="00A43DBF">
        <w:t xml:space="preserve">the </w:t>
      </w:r>
      <w:r w:rsidR="00F32FA0" w:rsidRPr="000945FD">
        <w:t xml:space="preserve">maximum term of imprisonment </w:t>
      </w:r>
      <w:r w:rsidR="004A2F01">
        <w:t xml:space="preserve">applicable to </w:t>
      </w:r>
      <w:r w:rsidR="00A43DBF">
        <w:t xml:space="preserve">the </w:t>
      </w:r>
      <w:r w:rsidR="00F32FA0" w:rsidRPr="000945FD">
        <w:t>offence</w:t>
      </w:r>
      <w:r w:rsidR="00A43DBF">
        <w:t xml:space="preserve">. </w:t>
      </w:r>
    </w:p>
    <w:p w:rsidR="00F32FA0" w:rsidRDefault="00F32FA0" w:rsidP="004A2F01">
      <w:r w:rsidRPr="000945FD">
        <w:t xml:space="preserve">The maximum cumulative period of separate CCOs that can be imposed by the County </w:t>
      </w:r>
      <w:r w:rsidR="000A6EE7">
        <w:t>Court or Supreme Court</w:t>
      </w:r>
      <w:r w:rsidRPr="000945FD">
        <w:t xml:space="preserve"> for two or more offences, </w:t>
      </w:r>
      <w:r w:rsidR="000A6EE7">
        <w:t>is</w:t>
      </w:r>
      <w:r w:rsidR="004A2F01">
        <w:t xml:space="preserve"> reduced to </w:t>
      </w:r>
      <w:r w:rsidRPr="000945FD">
        <w:t>five years</w:t>
      </w:r>
      <w:r w:rsidR="00501ED0">
        <w:t>,</w:t>
      </w:r>
      <w:r>
        <w:t xml:space="preserve"> the same </w:t>
      </w:r>
      <w:r w:rsidR="004A2F01">
        <w:t xml:space="preserve">period </w:t>
      </w:r>
      <w:r>
        <w:t>as currently applies in the Magistrates' Court</w:t>
      </w:r>
      <w:r w:rsidRPr="000945FD">
        <w:t xml:space="preserve"> </w:t>
      </w:r>
      <w:r>
        <w:t>(amended s. 41A</w:t>
      </w:r>
      <w:r w:rsidR="004A2F01">
        <w:t xml:space="preserve"> SA</w:t>
      </w:r>
      <w:r>
        <w:t xml:space="preserve">). </w:t>
      </w:r>
    </w:p>
    <w:p w:rsidR="004A2F01" w:rsidRPr="004A2F01" w:rsidRDefault="004A2F01" w:rsidP="004A2F01">
      <w:pPr>
        <w:rPr>
          <w:b/>
        </w:rPr>
      </w:pPr>
      <w:r>
        <w:rPr>
          <w:b/>
        </w:rPr>
        <w:t>Non-</w:t>
      </w:r>
      <w:r w:rsidRPr="004A2F01">
        <w:rPr>
          <w:b/>
        </w:rPr>
        <w:t>parole periods and CCOs</w:t>
      </w:r>
    </w:p>
    <w:p w:rsidR="00F32FA0" w:rsidRPr="000945FD" w:rsidRDefault="00F32FA0" w:rsidP="00F32FA0">
      <w:r>
        <w:t xml:space="preserve">Under </w:t>
      </w:r>
      <w:r w:rsidRPr="000945FD">
        <w:t xml:space="preserve">s.11(2) </w:t>
      </w:r>
      <w:r>
        <w:t xml:space="preserve">of the </w:t>
      </w:r>
      <w:r w:rsidR="006B22BB">
        <w:t xml:space="preserve">Sentencing </w:t>
      </w:r>
      <w:r>
        <w:t xml:space="preserve">Act </w:t>
      </w:r>
      <w:r w:rsidRPr="000945FD">
        <w:t xml:space="preserve">a court has discretion to fix a non-parole period </w:t>
      </w:r>
      <w:r>
        <w:t xml:space="preserve">where it imposes a prison </w:t>
      </w:r>
      <w:r w:rsidRPr="000945FD">
        <w:t>sent</w:t>
      </w:r>
      <w:r>
        <w:t xml:space="preserve">ence of </w:t>
      </w:r>
      <w:r w:rsidRPr="000945FD">
        <w:t>at least one year but less tha</w:t>
      </w:r>
      <w:r>
        <w:t>n two years</w:t>
      </w:r>
      <w:r w:rsidRPr="000945FD">
        <w:t>.</w:t>
      </w:r>
      <w:r>
        <w:t xml:space="preserve"> </w:t>
      </w:r>
      <w:r w:rsidRPr="000945FD">
        <w:t>New s</w:t>
      </w:r>
      <w:r>
        <w:t>s.</w:t>
      </w:r>
      <w:r w:rsidRPr="000945FD">
        <w:t xml:space="preserve"> 11(2A</w:t>
      </w:r>
      <w:r>
        <w:t>)</w:t>
      </w:r>
      <w:r w:rsidRPr="000945FD">
        <w:t xml:space="preserve"> pro</w:t>
      </w:r>
      <w:r w:rsidR="000A6EE7">
        <w:t>hibits the fixing of</w:t>
      </w:r>
      <w:r w:rsidRPr="000945FD">
        <w:t xml:space="preserve"> a non-parole period where the prison sentence is combined with a CCO. </w:t>
      </w:r>
    </w:p>
    <w:p w:rsidR="000945FD" w:rsidRPr="000945FD" w:rsidRDefault="0076603B" w:rsidP="005A33A2">
      <w:pPr>
        <w:pStyle w:val="Heading2"/>
      </w:pPr>
      <w:r>
        <w:t xml:space="preserve">Custodial sentences required for certain </w:t>
      </w:r>
      <w:r w:rsidR="000945FD" w:rsidRPr="000945FD">
        <w:t>serious offences</w:t>
      </w:r>
    </w:p>
    <w:p w:rsidR="00170757" w:rsidRDefault="0076603B" w:rsidP="000945FD">
      <w:r>
        <w:t xml:space="preserve">New provisions require custodial sentences to be imposed for certain serious offences </w:t>
      </w:r>
      <w:r w:rsidRPr="0076603B">
        <w:rPr>
          <w:b/>
        </w:rPr>
        <w:t>committed after 20 March 2017</w:t>
      </w:r>
      <w:r>
        <w:t xml:space="preserve">. </w:t>
      </w:r>
      <w:r w:rsidR="00170757">
        <w:t xml:space="preserve">The Sentencing Act has been amended to </w:t>
      </w:r>
      <w:r w:rsidR="00FA2F6A" w:rsidRPr="000945FD">
        <w:t>create two new classes of serious offences</w:t>
      </w:r>
      <w:r w:rsidR="00170757">
        <w:rPr>
          <w:iCs/>
        </w:rPr>
        <w:t>: c</w:t>
      </w:r>
      <w:r w:rsidR="00FA2F6A">
        <w:rPr>
          <w:iCs/>
        </w:rPr>
        <w:t>a</w:t>
      </w:r>
      <w:r w:rsidR="00FA2F6A" w:rsidRPr="000945FD">
        <w:t>tegory 1 offence and category 2 offence</w:t>
      </w:r>
      <w:r w:rsidR="00170757">
        <w:t>, which are defined in s. 3(1) of the Sentencing Act.</w:t>
      </w:r>
    </w:p>
    <w:p w:rsidR="00226D4E" w:rsidRDefault="000945FD" w:rsidP="000945FD">
      <w:r w:rsidRPr="000945FD">
        <w:lastRenderedPageBreak/>
        <w:t xml:space="preserve">A court </w:t>
      </w:r>
      <w:r w:rsidR="00825A1E">
        <w:t xml:space="preserve">must </w:t>
      </w:r>
      <w:r w:rsidRPr="000945FD">
        <w:t>impose a custodial sentence for category 1 offences</w:t>
      </w:r>
      <w:r w:rsidR="003C3499">
        <w:t xml:space="preserve">. </w:t>
      </w:r>
      <w:r w:rsidR="00170757">
        <w:t xml:space="preserve">No other sentencing options are available. </w:t>
      </w:r>
      <w:r w:rsidR="003C3499">
        <w:t xml:space="preserve">A custodial sentence must be imposed for a category 2 offence, unless </w:t>
      </w:r>
      <w:r w:rsidR="003C3499" w:rsidRPr="0076603B">
        <w:rPr>
          <w:b/>
        </w:rPr>
        <w:t>specified circumstances</w:t>
      </w:r>
      <w:r w:rsidR="003C3499">
        <w:t xml:space="preserve"> exist </w:t>
      </w:r>
      <w:r w:rsidR="003C3499" w:rsidRPr="000945FD">
        <w:t>(</w:t>
      </w:r>
      <w:proofErr w:type="spellStart"/>
      <w:r w:rsidR="003C3499" w:rsidRPr="000945FD">
        <w:t>new s</w:t>
      </w:r>
      <w:proofErr w:type="spellEnd"/>
      <w:r w:rsidR="003C3499" w:rsidRPr="000945FD">
        <w:t>. 5(2G</w:t>
      </w:r>
      <w:r w:rsidR="003C3499">
        <w:t>)</w:t>
      </w:r>
      <w:r w:rsidR="003C3499" w:rsidRPr="004A2F01">
        <w:t xml:space="preserve"> </w:t>
      </w:r>
      <w:r w:rsidR="00327682">
        <w:t xml:space="preserve">and (2H) </w:t>
      </w:r>
      <w:r w:rsidR="003C3499">
        <w:t>SA</w:t>
      </w:r>
      <w:r w:rsidR="003C3499" w:rsidRPr="000945FD">
        <w:t>)</w:t>
      </w:r>
      <w:r w:rsidR="003C3499">
        <w:t>.</w:t>
      </w:r>
      <w:r w:rsidR="00825A1E">
        <w:t xml:space="preserve"> </w:t>
      </w:r>
      <w:r w:rsidR="00327682" w:rsidRPr="000945FD">
        <w:t xml:space="preserve">A </w:t>
      </w:r>
      <w:r w:rsidR="00327682">
        <w:t>cus</w:t>
      </w:r>
      <w:r w:rsidR="0076603B">
        <w:t xml:space="preserve">todial sentence is a sentence imposed under Division 2 of Part 3 of the Sentencing Act and </w:t>
      </w:r>
      <w:r w:rsidR="00327682">
        <w:t xml:space="preserve">does not include a </w:t>
      </w:r>
      <w:r w:rsidR="00327682" w:rsidRPr="000945FD">
        <w:t>CCO</w:t>
      </w:r>
      <w:r w:rsidR="00327682">
        <w:t xml:space="preserve"> combined with imprisonment.</w:t>
      </w:r>
      <w:r w:rsidR="0076603B">
        <w:t xml:space="preserve"> </w:t>
      </w:r>
    </w:p>
    <w:p w:rsidR="000945FD" w:rsidRPr="00A82C6D" w:rsidRDefault="000945FD" w:rsidP="000945FD">
      <w:pPr>
        <w:rPr>
          <w:b/>
        </w:rPr>
      </w:pPr>
      <w:r w:rsidRPr="00A82C6D">
        <w:rPr>
          <w:b/>
        </w:rPr>
        <w:t>Category 1 offences are</w:t>
      </w:r>
      <w:r w:rsidR="00DD04C2" w:rsidRPr="00A82C6D">
        <w:rPr>
          <w:b/>
        </w:rPr>
        <w:t xml:space="preserve"> defined as</w:t>
      </w:r>
      <w:r w:rsidRPr="00A82C6D">
        <w:rPr>
          <w:b/>
        </w:rPr>
        <w:t xml:space="preserve">: </w:t>
      </w:r>
    </w:p>
    <w:p w:rsidR="000945FD" w:rsidRPr="000945FD" w:rsidRDefault="0039218F" w:rsidP="00DD04C2">
      <w:pPr>
        <w:numPr>
          <w:ilvl w:val="0"/>
          <w:numId w:val="40"/>
        </w:numPr>
        <w:spacing w:after="40"/>
        <w:ind w:left="714" w:hanging="357"/>
      </w:pPr>
      <w:r>
        <w:t>murder</w:t>
      </w:r>
    </w:p>
    <w:p w:rsidR="000B237F" w:rsidRDefault="000B237F" w:rsidP="00DD04C2">
      <w:pPr>
        <w:numPr>
          <w:ilvl w:val="0"/>
          <w:numId w:val="40"/>
        </w:numPr>
        <w:spacing w:after="40"/>
        <w:ind w:left="714" w:hanging="357"/>
      </w:pPr>
      <w:r w:rsidRPr="000945FD">
        <w:t xml:space="preserve">intentionally </w:t>
      </w:r>
      <w:r w:rsidR="00DD04C2">
        <w:t xml:space="preserve">or </w:t>
      </w:r>
      <w:r w:rsidR="00DD04C2" w:rsidRPr="000945FD">
        <w:t xml:space="preserve">recklessly </w:t>
      </w:r>
      <w:r w:rsidRPr="000945FD">
        <w:t xml:space="preserve">causing serious injury in circumstances of gross violence </w:t>
      </w:r>
    </w:p>
    <w:p w:rsidR="000945FD" w:rsidRPr="000945FD" w:rsidRDefault="0039218F" w:rsidP="00DD04C2">
      <w:pPr>
        <w:numPr>
          <w:ilvl w:val="0"/>
          <w:numId w:val="40"/>
        </w:numPr>
        <w:spacing w:after="40"/>
        <w:ind w:left="714" w:hanging="357"/>
      </w:pPr>
      <w:r>
        <w:t>rape</w:t>
      </w:r>
    </w:p>
    <w:p w:rsidR="000945FD" w:rsidRPr="000945FD" w:rsidRDefault="000945FD" w:rsidP="00DD04C2">
      <w:pPr>
        <w:numPr>
          <w:ilvl w:val="0"/>
          <w:numId w:val="40"/>
        </w:numPr>
        <w:spacing w:after="40"/>
        <w:ind w:left="714" w:hanging="357"/>
      </w:pPr>
      <w:r w:rsidRPr="000945FD">
        <w:t xml:space="preserve">rape by compelling sexual penetration </w:t>
      </w:r>
    </w:p>
    <w:p w:rsidR="000B237F" w:rsidRDefault="000B237F" w:rsidP="00DD04C2">
      <w:pPr>
        <w:numPr>
          <w:ilvl w:val="0"/>
          <w:numId w:val="40"/>
        </w:numPr>
        <w:spacing w:after="40"/>
      </w:pPr>
      <w:r w:rsidRPr="000945FD">
        <w:t xml:space="preserve">incest </w:t>
      </w:r>
      <w:r w:rsidRPr="000B237F">
        <w:t xml:space="preserve">with the person's child, </w:t>
      </w:r>
      <w:proofErr w:type="gramStart"/>
      <w:r w:rsidRPr="000B237F">
        <w:t>other</w:t>
      </w:r>
      <w:proofErr w:type="gramEnd"/>
      <w:r w:rsidRPr="000B237F">
        <w:t xml:space="preserve"> lineal descendant or step-child</w:t>
      </w:r>
      <w:r>
        <w:t xml:space="preserve">, </w:t>
      </w:r>
      <w:r w:rsidRPr="000945FD">
        <w:t>wh</w:t>
      </w:r>
      <w:r>
        <w:t xml:space="preserve">o </w:t>
      </w:r>
      <w:r w:rsidRPr="000945FD">
        <w:t>is under 18</w:t>
      </w:r>
    </w:p>
    <w:p w:rsidR="000B237F" w:rsidRPr="000945FD" w:rsidRDefault="000B237F" w:rsidP="00DD04C2">
      <w:pPr>
        <w:numPr>
          <w:ilvl w:val="0"/>
          <w:numId w:val="40"/>
        </w:numPr>
        <w:spacing w:after="40"/>
      </w:pPr>
      <w:r w:rsidRPr="000945FD">
        <w:t xml:space="preserve">incest </w:t>
      </w:r>
      <w:r w:rsidRPr="000B237F">
        <w:t xml:space="preserve">with </w:t>
      </w:r>
      <w:r>
        <w:t>a</w:t>
      </w:r>
      <w:r w:rsidRPr="000B237F">
        <w:t xml:space="preserve"> child, other lineal descendant or step-child</w:t>
      </w:r>
      <w:r>
        <w:t xml:space="preserve"> under 18 years, of the person’s de-facto spouse</w:t>
      </w:r>
    </w:p>
    <w:p w:rsidR="000945FD" w:rsidRPr="000945FD" w:rsidRDefault="000945FD" w:rsidP="00DD04C2">
      <w:pPr>
        <w:numPr>
          <w:ilvl w:val="0"/>
          <w:numId w:val="40"/>
        </w:numPr>
        <w:spacing w:after="40"/>
        <w:ind w:left="714" w:hanging="357"/>
      </w:pPr>
      <w:r w:rsidRPr="000945FD">
        <w:t>sexual penetratio</w:t>
      </w:r>
      <w:r w:rsidR="000B237F">
        <w:t xml:space="preserve">n of a child under the age of 16 committed </w:t>
      </w:r>
      <w:r w:rsidR="004F1A79">
        <w:t>where the child is under 12 years</w:t>
      </w:r>
    </w:p>
    <w:p w:rsidR="000B237F" w:rsidRPr="000945FD" w:rsidRDefault="000B237F" w:rsidP="00DD04C2">
      <w:pPr>
        <w:numPr>
          <w:ilvl w:val="0"/>
          <w:numId w:val="40"/>
        </w:numPr>
        <w:spacing w:after="40"/>
        <w:ind w:left="714" w:hanging="357"/>
      </w:pPr>
      <w:r w:rsidRPr="000945FD">
        <w:t xml:space="preserve">persistent sexual abuse of a child under the age of 16 </w:t>
      </w:r>
    </w:p>
    <w:p w:rsidR="000B237F" w:rsidRDefault="000945FD" w:rsidP="00DD04C2">
      <w:pPr>
        <w:numPr>
          <w:ilvl w:val="0"/>
          <w:numId w:val="40"/>
        </w:numPr>
        <w:spacing w:after="40"/>
        <w:ind w:left="714" w:hanging="357"/>
      </w:pPr>
      <w:r w:rsidRPr="000945FD">
        <w:t xml:space="preserve">trafficking </w:t>
      </w:r>
      <w:r w:rsidR="000B237F">
        <w:t>in</w:t>
      </w:r>
      <w:r w:rsidR="004F1A79">
        <w:t xml:space="preserve"> or</w:t>
      </w:r>
      <w:r w:rsidR="000B237F">
        <w:t xml:space="preserve"> </w:t>
      </w:r>
      <w:r w:rsidR="004F1A79" w:rsidRPr="000945FD">
        <w:t xml:space="preserve">cultivating </w:t>
      </w:r>
      <w:r w:rsidR="000B237F" w:rsidRPr="000945FD">
        <w:t>a large commercial quantity of a drug of dependence</w:t>
      </w:r>
    </w:p>
    <w:p w:rsidR="000945FD" w:rsidRPr="000945FD" w:rsidRDefault="00DD04C2" w:rsidP="00DD04C2">
      <w:pPr>
        <w:numPr>
          <w:ilvl w:val="0"/>
          <w:numId w:val="40"/>
        </w:numPr>
        <w:spacing w:after="40"/>
        <w:ind w:left="714" w:hanging="357"/>
      </w:pPr>
      <w:r w:rsidRPr="000945FD">
        <w:t xml:space="preserve">trafficking a </w:t>
      </w:r>
      <w:r>
        <w:t xml:space="preserve">large </w:t>
      </w:r>
      <w:r w:rsidRPr="000945FD">
        <w:t>commercial quantity of a drug of dependence or cultivating</w:t>
      </w:r>
      <w:r>
        <w:t xml:space="preserve"> a </w:t>
      </w:r>
      <w:r w:rsidR="00A82C6D">
        <w:t xml:space="preserve">large </w:t>
      </w:r>
      <w:r>
        <w:t>commercial quantity of a narcotic plant.</w:t>
      </w:r>
    </w:p>
    <w:p w:rsidR="000945FD" w:rsidRPr="00A82C6D" w:rsidRDefault="000945FD" w:rsidP="000945FD">
      <w:pPr>
        <w:rPr>
          <w:b/>
        </w:rPr>
      </w:pPr>
      <w:r w:rsidRPr="00A82C6D">
        <w:rPr>
          <w:b/>
        </w:rPr>
        <w:t>Category 2 offences are defined as:</w:t>
      </w:r>
    </w:p>
    <w:p w:rsidR="000945FD" w:rsidRPr="000945FD" w:rsidRDefault="004F1A79" w:rsidP="00DD04C2">
      <w:pPr>
        <w:numPr>
          <w:ilvl w:val="0"/>
          <w:numId w:val="41"/>
        </w:numPr>
        <w:spacing w:after="40"/>
        <w:ind w:left="714" w:hanging="357"/>
      </w:pPr>
      <w:r>
        <w:t>manslaughter</w:t>
      </w:r>
    </w:p>
    <w:p w:rsidR="000945FD" w:rsidRPr="000945FD" w:rsidRDefault="004F1A79" w:rsidP="00DD04C2">
      <w:pPr>
        <w:numPr>
          <w:ilvl w:val="0"/>
          <w:numId w:val="41"/>
        </w:numPr>
        <w:spacing w:after="40"/>
        <w:ind w:left="714" w:hanging="357"/>
      </w:pPr>
      <w:r>
        <w:t>child homicide</w:t>
      </w:r>
    </w:p>
    <w:p w:rsidR="004F1A79" w:rsidRPr="000945FD" w:rsidRDefault="004F1A79" w:rsidP="00DD04C2">
      <w:pPr>
        <w:numPr>
          <w:ilvl w:val="0"/>
          <w:numId w:val="41"/>
        </w:numPr>
        <w:spacing w:after="40"/>
        <w:ind w:left="714" w:hanging="357"/>
      </w:pPr>
      <w:r w:rsidRPr="000945FD">
        <w:t xml:space="preserve">intentionally causing serious injury </w:t>
      </w:r>
    </w:p>
    <w:p w:rsidR="000945FD" w:rsidRPr="000945FD" w:rsidRDefault="000945FD" w:rsidP="00DD04C2">
      <w:pPr>
        <w:numPr>
          <w:ilvl w:val="0"/>
          <w:numId w:val="41"/>
        </w:numPr>
        <w:spacing w:after="40"/>
        <w:ind w:left="714" w:hanging="357"/>
      </w:pPr>
      <w:r w:rsidRPr="000945FD">
        <w:t xml:space="preserve">kidnapping </w:t>
      </w:r>
      <w:r w:rsidR="004F1A79">
        <w:t xml:space="preserve">(at common law and under s. 63A of the </w:t>
      </w:r>
      <w:r w:rsidR="004F1A79" w:rsidRPr="004F1A79">
        <w:rPr>
          <w:i/>
        </w:rPr>
        <w:t>Crimes Act 1958</w:t>
      </w:r>
      <w:r w:rsidR="004F1A79">
        <w:t>.</w:t>
      </w:r>
    </w:p>
    <w:p w:rsidR="000945FD" w:rsidRPr="000945FD" w:rsidRDefault="004F1A79" w:rsidP="00DD04C2">
      <w:pPr>
        <w:numPr>
          <w:ilvl w:val="0"/>
          <w:numId w:val="41"/>
        </w:numPr>
        <w:spacing w:after="40"/>
        <w:ind w:left="714" w:hanging="357"/>
      </w:pPr>
      <w:r>
        <w:t>a</w:t>
      </w:r>
      <w:r w:rsidR="000945FD" w:rsidRPr="000945FD">
        <w:t>rson</w:t>
      </w:r>
      <w:r>
        <w:t xml:space="preserve"> </w:t>
      </w:r>
      <w:r w:rsidR="000945FD" w:rsidRPr="000945FD">
        <w:t xml:space="preserve">causing death </w:t>
      </w:r>
    </w:p>
    <w:p w:rsidR="000945FD" w:rsidRPr="000945FD" w:rsidRDefault="000945FD" w:rsidP="00DD04C2">
      <w:pPr>
        <w:numPr>
          <w:ilvl w:val="0"/>
          <w:numId w:val="41"/>
        </w:numPr>
        <w:spacing w:after="40"/>
        <w:ind w:left="714" w:hanging="357"/>
      </w:pPr>
      <w:r w:rsidRPr="000945FD">
        <w:t xml:space="preserve">trafficking a commercial quantity of a drug of dependence </w:t>
      </w:r>
      <w:r w:rsidR="00DD04C2" w:rsidRPr="000945FD">
        <w:t>or cultivating</w:t>
      </w:r>
      <w:r w:rsidR="00DD04C2">
        <w:t xml:space="preserve"> a commercial quantity of a narcotic plant </w:t>
      </w:r>
    </w:p>
    <w:p w:rsidR="000945FD" w:rsidRDefault="000945FD" w:rsidP="00DD04C2">
      <w:pPr>
        <w:numPr>
          <w:ilvl w:val="0"/>
          <w:numId w:val="41"/>
        </w:numPr>
        <w:spacing w:after="40"/>
        <w:ind w:left="714" w:hanging="357"/>
      </w:pPr>
      <w:r w:rsidRPr="000945FD">
        <w:t xml:space="preserve">providing documents or information facilitating terrorist attacks. </w:t>
      </w:r>
    </w:p>
    <w:p w:rsidR="000945FD" w:rsidRPr="000945FD" w:rsidRDefault="000945FD" w:rsidP="0039218F">
      <w:pPr>
        <w:keepNext/>
      </w:pPr>
      <w:r w:rsidRPr="000945FD">
        <w:t>Th</w:t>
      </w:r>
      <w:r w:rsidR="00226D4E">
        <w:t>e</w:t>
      </w:r>
      <w:r w:rsidRPr="000945FD">
        <w:t xml:space="preserve"> </w:t>
      </w:r>
      <w:r w:rsidR="003C3499" w:rsidRPr="00501ED0">
        <w:rPr>
          <w:b/>
        </w:rPr>
        <w:t xml:space="preserve">specified </w:t>
      </w:r>
      <w:r w:rsidRPr="00501ED0">
        <w:rPr>
          <w:b/>
        </w:rPr>
        <w:t>circumstances</w:t>
      </w:r>
      <w:r w:rsidR="003C3499">
        <w:t xml:space="preserve"> </w:t>
      </w:r>
      <w:r w:rsidR="00501ED0">
        <w:t>that must exist for a non-custodial sentence to be imposed for a category 2 offence</w:t>
      </w:r>
      <w:r w:rsidR="003C3499">
        <w:t xml:space="preserve"> </w:t>
      </w:r>
      <w:r w:rsidR="00501ED0">
        <w:t xml:space="preserve">are </w:t>
      </w:r>
      <w:r w:rsidR="00226D4E">
        <w:t xml:space="preserve">set out </w:t>
      </w:r>
      <w:r w:rsidR="00226D4E" w:rsidRPr="000945FD">
        <w:t>in new ss. 5(2H) (a)</w:t>
      </w:r>
      <w:r w:rsidR="000E46AE">
        <w:t xml:space="preserve"> </w:t>
      </w:r>
      <w:r w:rsidR="00226D4E" w:rsidRPr="000945FD">
        <w:t>-</w:t>
      </w:r>
      <w:r w:rsidR="000E46AE">
        <w:t xml:space="preserve"> </w:t>
      </w:r>
      <w:r w:rsidR="00226D4E" w:rsidRPr="000945FD">
        <w:t>(e)</w:t>
      </w:r>
      <w:r w:rsidR="00501ED0">
        <w:t xml:space="preserve">. The circumstances are </w:t>
      </w:r>
      <w:r w:rsidRPr="000945FD">
        <w:t>that:</w:t>
      </w:r>
    </w:p>
    <w:p w:rsidR="000945FD" w:rsidRPr="000945FD" w:rsidRDefault="000945FD" w:rsidP="000945FD">
      <w:pPr>
        <w:numPr>
          <w:ilvl w:val="0"/>
          <w:numId w:val="42"/>
        </w:numPr>
      </w:pPr>
      <w:r w:rsidRPr="000945FD">
        <w:t xml:space="preserve">the offender has provided or undertaken to provide assistance to law enforcement in the investigation or prosecution of an offence </w:t>
      </w:r>
    </w:p>
    <w:p w:rsidR="000945FD" w:rsidRPr="000945FD" w:rsidRDefault="00A82C6D" w:rsidP="000945FD">
      <w:pPr>
        <w:numPr>
          <w:ilvl w:val="0"/>
          <w:numId w:val="42"/>
        </w:numPr>
      </w:pPr>
      <w:r>
        <w:t>at the time of offending, the o</w:t>
      </w:r>
      <w:r w:rsidR="000945FD" w:rsidRPr="000945FD">
        <w:t xml:space="preserve">ffender was </w:t>
      </w:r>
      <w:r>
        <w:t xml:space="preserve">aged over 18 but under 21 years and can show </w:t>
      </w:r>
      <w:r w:rsidR="000945FD" w:rsidRPr="000945FD">
        <w:t xml:space="preserve">psychosocial immaturity, which substantially diminished their ability to regulate their behaviour </w:t>
      </w:r>
    </w:p>
    <w:p w:rsidR="000945FD" w:rsidRPr="000945FD" w:rsidRDefault="00A82C6D" w:rsidP="000945FD">
      <w:pPr>
        <w:numPr>
          <w:ilvl w:val="0"/>
          <w:numId w:val="42"/>
        </w:numPr>
      </w:pPr>
      <w:r>
        <w:t xml:space="preserve">the offender demonstrates </w:t>
      </w:r>
      <w:r w:rsidR="000945FD" w:rsidRPr="000945FD">
        <w:t>impaired mental functioning that</w:t>
      </w:r>
      <w:r>
        <w:t xml:space="preserve"> </w:t>
      </w:r>
      <w:r w:rsidR="000945FD" w:rsidRPr="000945FD">
        <w:t xml:space="preserve">was a cause of the offending and which substantially reduces their culpability </w:t>
      </w:r>
    </w:p>
    <w:p w:rsidR="000945FD" w:rsidRPr="000945FD" w:rsidRDefault="000945FD" w:rsidP="000945FD">
      <w:pPr>
        <w:numPr>
          <w:ilvl w:val="0"/>
          <w:numId w:val="42"/>
        </w:numPr>
      </w:pPr>
      <w:r w:rsidRPr="000945FD">
        <w:t xml:space="preserve">the court will make a Court Secure Treatment Order or </w:t>
      </w:r>
      <w:r w:rsidR="00AD4746" w:rsidRPr="000945FD">
        <w:t>Residential Treatment Order</w:t>
      </w:r>
      <w:r w:rsidR="00524322">
        <w:t>,</w:t>
      </w:r>
      <w:r w:rsidRPr="000945FD">
        <w:t xml:space="preserve"> or </w:t>
      </w:r>
    </w:p>
    <w:p w:rsidR="000945FD" w:rsidRPr="000945FD" w:rsidRDefault="000945FD" w:rsidP="000945FD">
      <w:pPr>
        <w:numPr>
          <w:ilvl w:val="0"/>
          <w:numId w:val="42"/>
        </w:numPr>
      </w:pPr>
      <w:r w:rsidRPr="000945FD">
        <w:t xml:space="preserve">there are substantial and compelling circumstances that justify a </w:t>
      </w:r>
      <w:r w:rsidR="00501ED0">
        <w:t xml:space="preserve">custodial sentence </w:t>
      </w:r>
      <w:r w:rsidR="000B75B9">
        <w:t>not being imposed. In determining</w:t>
      </w:r>
      <w:r w:rsidR="0054647F">
        <w:t xml:space="preserve"> </w:t>
      </w:r>
      <w:r w:rsidR="000B75B9">
        <w:t xml:space="preserve">if the relevant circumstances exit the court must </w:t>
      </w:r>
      <w:r w:rsidR="0054647F">
        <w:t>hav</w:t>
      </w:r>
      <w:r w:rsidR="000B75B9">
        <w:t>e</w:t>
      </w:r>
      <w:r w:rsidR="0054647F">
        <w:t xml:space="preserve"> </w:t>
      </w:r>
      <w:r w:rsidR="008866B7">
        <w:t>regard to Parliament’s intention</w:t>
      </w:r>
      <w:r w:rsidR="00524322">
        <w:t>,</w:t>
      </w:r>
      <w:r w:rsidR="008866B7">
        <w:t xml:space="preserve"> that a </w:t>
      </w:r>
      <w:r w:rsidR="0054647F">
        <w:t xml:space="preserve">term of imprisonment </w:t>
      </w:r>
      <w:r w:rsidR="008866B7">
        <w:t xml:space="preserve">should </w:t>
      </w:r>
      <w:r w:rsidR="0054647F">
        <w:t>ordinarily be imposed for a class 2 offence</w:t>
      </w:r>
      <w:r w:rsidR="00524322">
        <w:t xml:space="preserve">, and </w:t>
      </w:r>
      <w:r w:rsidR="000B75B9">
        <w:t xml:space="preserve">whether the </w:t>
      </w:r>
      <w:r w:rsidR="00524322">
        <w:t xml:space="preserve">total circumstances justify </w:t>
      </w:r>
      <w:r w:rsidR="000B75B9">
        <w:t>a different sentence being imposed</w:t>
      </w:r>
      <w:r w:rsidRPr="000945FD">
        <w:t xml:space="preserve">. </w:t>
      </w:r>
      <w:r w:rsidR="000B75B9">
        <w:t>(s.5(2I).</w:t>
      </w:r>
    </w:p>
    <w:p w:rsidR="000945FD" w:rsidRPr="000945FD" w:rsidRDefault="000945FD" w:rsidP="000945FD">
      <w:r w:rsidRPr="000945FD">
        <w:t>The</w:t>
      </w:r>
      <w:r w:rsidR="000E46AE">
        <w:t>se</w:t>
      </w:r>
      <w:r w:rsidR="00A82C6D">
        <w:t xml:space="preserve"> circumstances mirror the 'special reasons’ </w:t>
      </w:r>
      <w:r w:rsidR="000E46AE">
        <w:t>under s. 10A of the</w:t>
      </w:r>
      <w:r w:rsidR="000E46AE" w:rsidRPr="000945FD">
        <w:t xml:space="preserve"> </w:t>
      </w:r>
      <w:r w:rsidR="00A82C6D">
        <w:t xml:space="preserve">Sentencing </w:t>
      </w:r>
      <w:r w:rsidR="000E46AE" w:rsidRPr="000945FD">
        <w:t xml:space="preserve">Act </w:t>
      </w:r>
      <w:r w:rsidRPr="000945FD">
        <w:t xml:space="preserve">that </w:t>
      </w:r>
      <w:r w:rsidR="000E46AE">
        <w:t xml:space="preserve">currently apply to the imposition of a </w:t>
      </w:r>
      <w:r w:rsidRPr="000945FD">
        <w:t xml:space="preserve">mandatory minimum </w:t>
      </w:r>
      <w:r w:rsidR="000E46AE">
        <w:t xml:space="preserve">term of imprisonment </w:t>
      </w:r>
      <w:r w:rsidRPr="000945FD">
        <w:t>for gross violen</w:t>
      </w:r>
      <w:r w:rsidR="000E46AE">
        <w:t>ce offences.</w:t>
      </w:r>
    </w:p>
    <w:p w:rsidR="000945FD" w:rsidRPr="000945FD" w:rsidRDefault="000945FD" w:rsidP="00825A1E">
      <w:pPr>
        <w:pStyle w:val="Heading2"/>
      </w:pPr>
      <w:r w:rsidRPr="000945FD">
        <w:lastRenderedPageBreak/>
        <w:t>Other changes</w:t>
      </w:r>
    </w:p>
    <w:p w:rsidR="00825A1E" w:rsidRPr="00C0255C" w:rsidRDefault="00825A1E" w:rsidP="000945FD">
      <w:r w:rsidRPr="00C0255C">
        <w:t xml:space="preserve">The </w:t>
      </w:r>
      <w:r w:rsidR="00AD4746" w:rsidRPr="00C0255C">
        <w:t xml:space="preserve">Act </w:t>
      </w:r>
      <w:r w:rsidRPr="00C0255C">
        <w:t>also:</w:t>
      </w:r>
    </w:p>
    <w:p w:rsidR="00825A1E" w:rsidRPr="00C0255C" w:rsidRDefault="004F2AE9" w:rsidP="00B14432">
      <w:pPr>
        <w:pStyle w:val="ListParagraph"/>
        <w:numPr>
          <w:ilvl w:val="0"/>
          <w:numId w:val="43"/>
        </w:numPr>
      </w:pPr>
      <w:r w:rsidRPr="00C0255C">
        <w:t>clarifies that</w:t>
      </w:r>
      <w:r>
        <w:t xml:space="preserve"> </w:t>
      </w:r>
      <w:r w:rsidR="00507BA8">
        <w:t>the pro</w:t>
      </w:r>
      <w:r w:rsidR="008866B7" w:rsidRPr="00C0255C">
        <w:t xml:space="preserve">visions relating to expungement of </w:t>
      </w:r>
      <w:r w:rsidR="000945FD" w:rsidRPr="00C0255C">
        <w:t>historical homosexual convictions apply to convictions in the Ch</w:t>
      </w:r>
      <w:r w:rsidR="00825A1E" w:rsidRPr="00C0255C">
        <w:t>ildren's Court ((new s. 105AA)</w:t>
      </w:r>
    </w:p>
    <w:p w:rsidR="004F2AE9" w:rsidRDefault="004F2AE9" w:rsidP="009039B2">
      <w:pPr>
        <w:pStyle w:val="ListParagraph"/>
        <w:numPr>
          <w:ilvl w:val="0"/>
          <w:numId w:val="43"/>
        </w:numPr>
      </w:pPr>
      <w:r w:rsidRPr="00C0255C">
        <w:t xml:space="preserve">clarifies that </w:t>
      </w:r>
      <w:r w:rsidR="000945FD" w:rsidRPr="00C0255C">
        <w:t xml:space="preserve">the court must also specify the sentence discount for a guilty plea, where </w:t>
      </w:r>
      <w:r w:rsidR="00DD04C2" w:rsidRPr="00C0255C">
        <w:t xml:space="preserve">it imposes a term of imprisonment, </w:t>
      </w:r>
      <w:r w:rsidR="0076603B" w:rsidRPr="00C0255C">
        <w:t xml:space="preserve">or </w:t>
      </w:r>
      <w:r w:rsidR="00DD04C2" w:rsidRPr="00C0255C">
        <w:t xml:space="preserve">a </w:t>
      </w:r>
      <w:r w:rsidR="000945FD" w:rsidRPr="00C0255C">
        <w:t xml:space="preserve">CCO </w:t>
      </w:r>
      <w:r w:rsidR="00DD04C2" w:rsidRPr="00C0255C">
        <w:t>of</w:t>
      </w:r>
      <w:r w:rsidR="000945FD" w:rsidRPr="00C0255C">
        <w:t xml:space="preserve"> 2 years or more (new ss. 6AAA(1)(b)</w:t>
      </w:r>
      <w:r w:rsidR="00825A1E" w:rsidRPr="00C0255C">
        <w:t xml:space="preserve"> (</w:t>
      </w:r>
      <w:proofErr w:type="spellStart"/>
      <w:r w:rsidR="00825A1E" w:rsidRPr="00C0255C">
        <w:t>ia</w:t>
      </w:r>
      <w:proofErr w:type="spellEnd"/>
      <w:r w:rsidR="00825A1E" w:rsidRPr="00C0255C">
        <w:t>) and</w:t>
      </w:r>
      <w:r w:rsidR="00DD04C2" w:rsidRPr="00C0255C">
        <w:t xml:space="preserve"> </w:t>
      </w:r>
      <w:r w:rsidR="00507BA8">
        <w:t>(</w:t>
      </w:r>
      <w:proofErr w:type="spellStart"/>
      <w:r w:rsidR="00507BA8">
        <w:t>ib</w:t>
      </w:r>
      <w:proofErr w:type="spellEnd"/>
      <w:r w:rsidR="00507BA8">
        <w:t>)</w:t>
      </w:r>
    </w:p>
    <w:p w:rsidR="001E588A" w:rsidRDefault="001E588A" w:rsidP="009039B2">
      <w:pPr>
        <w:pStyle w:val="ListParagraph"/>
        <w:numPr>
          <w:ilvl w:val="0"/>
          <w:numId w:val="43"/>
        </w:numPr>
      </w:pPr>
      <w:r>
        <w:t xml:space="preserve">repeals sections 29 and 30 of the </w:t>
      </w:r>
      <w:r w:rsidRPr="001E588A">
        <w:rPr>
          <w:i/>
        </w:rPr>
        <w:t>Bail Act 1977</w:t>
      </w:r>
      <w:r>
        <w:t xml:space="preserve"> relating to the issuing of a notice of trial </w:t>
      </w:r>
    </w:p>
    <w:p w:rsidR="00507BA8" w:rsidRPr="00C0255C" w:rsidRDefault="00507BA8" w:rsidP="009039B2">
      <w:pPr>
        <w:pStyle w:val="ListParagraph"/>
        <w:numPr>
          <w:ilvl w:val="0"/>
          <w:numId w:val="43"/>
        </w:numPr>
      </w:pPr>
      <w:r>
        <w:t>makes other consequential amendments.</w:t>
      </w:r>
    </w:p>
    <w:p w:rsidR="006D1301" w:rsidRDefault="006D1301" w:rsidP="00C0255C">
      <w:pPr>
        <w:ind w:left="360"/>
      </w:pPr>
    </w:p>
    <w:p w:rsidR="00C0255C" w:rsidRDefault="00C0255C" w:rsidP="00C0255C">
      <w:pPr>
        <w:pStyle w:val="Heading2"/>
      </w:pPr>
      <w:r>
        <w:t xml:space="preserve">More information </w:t>
      </w:r>
    </w:p>
    <w:p w:rsidR="00C0255C" w:rsidRDefault="00C0255C" w:rsidP="006B77AA">
      <w:pPr>
        <w:spacing w:after="0"/>
      </w:pPr>
      <w:r>
        <w:t xml:space="preserve">This is a summary of the changes only. Lawyers should read the </w:t>
      </w:r>
      <w:hyperlink r:id="rId8" w:history="1">
        <w:r w:rsidRPr="00A82C6D">
          <w:rPr>
            <w:rStyle w:val="Hyperlink"/>
          </w:rPr>
          <w:t>Sentencing (Community Correction Order) and Other Acts Amendment</w:t>
        </w:r>
        <w:r w:rsidRPr="00A82C6D">
          <w:rPr>
            <w:rStyle w:val="Hyperlink"/>
            <w:bCs/>
          </w:rPr>
          <w:t xml:space="preserve"> Act 2016</w:t>
        </w:r>
      </w:hyperlink>
      <w:r>
        <w:rPr>
          <w:rStyle w:val="Hyperlink"/>
          <w:bCs/>
        </w:rPr>
        <w:t xml:space="preserve"> </w:t>
      </w:r>
      <w:r>
        <w:t xml:space="preserve">before providing legal advice to clients. </w:t>
      </w:r>
    </w:p>
    <w:p w:rsidR="00C0255C" w:rsidRDefault="00C0255C" w:rsidP="006B77AA">
      <w:pPr>
        <w:spacing w:after="0"/>
      </w:pPr>
    </w:p>
    <w:p w:rsidR="004536A6" w:rsidRPr="000945FD" w:rsidRDefault="004536A6" w:rsidP="006B77AA">
      <w:pPr>
        <w:spacing w:after="0"/>
      </w:pPr>
      <w:r w:rsidRPr="000945FD">
        <w:t>F</w:t>
      </w:r>
      <w:r w:rsidR="00C0255C">
        <w:t xml:space="preserve">urther </w:t>
      </w:r>
      <w:r w:rsidRPr="000945FD">
        <w:t xml:space="preserve">information, </w:t>
      </w:r>
      <w:r w:rsidR="00C0255C">
        <w:t>can also be obtained by reading the</w:t>
      </w:r>
      <w:hyperlink r:id="rId9" w:history="1">
        <w:r w:rsidR="00C0255C">
          <w:rPr>
            <w:rStyle w:val="Hyperlink"/>
          </w:rPr>
          <w:t xml:space="preserve"> E</w:t>
        </w:r>
        <w:r w:rsidRPr="00270186">
          <w:rPr>
            <w:rStyle w:val="Hyperlink"/>
          </w:rPr>
          <w:t>xplanatory memorandum and second reading speech</w:t>
        </w:r>
      </w:hyperlink>
      <w:r w:rsidR="00C0255C">
        <w:rPr>
          <w:rStyle w:val="Hyperlink"/>
        </w:rPr>
        <w:t xml:space="preserve"> to the Bill</w:t>
      </w:r>
      <w:r w:rsidR="00270186">
        <w:t>.</w:t>
      </w:r>
    </w:p>
    <w:sectPr w:rsidR="004536A6" w:rsidRPr="000945FD" w:rsidSect="004536A6">
      <w:headerReference w:type="even" r:id="rId10"/>
      <w:headerReference w:type="default" r:id="rId11"/>
      <w:footerReference w:type="even" r:id="rId12"/>
      <w:footerReference w:type="default" r:id="rId13"/>
      <w:headerReference w:type="first" r:id="rId14"/>
      <w:footerReference w:type="first" r:id="rId15"/>
      <w:pgSz w:w="11900" w:h="16840" w:code="9"/>
      <w:pgMar w:top="228" w:right="560"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403" w:rsidRDefault="000D7403"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rsidR="000D7403" w:rsidRDefault="000D7403"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66A" w:rsidRDefault="0066166A"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166A" w:rsidRDefault="0066166A" w:rsidP="008074B3">
    <w:pPr>
      <w:pStyle w:val="Footer"/>
      <w:ind w:right="360" w:firstLine="360"/>
    </w:pPr>
  </w:p>
  <w:p w:rsidR="0066166A" w:rsidRDefault="006616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66A" w:rsidRDefault="0066166A"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493CA5">
      <w:rPr>
        <w:rStyle w:val="PageNumber"/>
        <w:noProof/>
      </w:rPr>
      <w:t>3</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3B83E5C7" wp14:editId="1B51D38E">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2DE8CA"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66A" w:rsidRPr="008636E1" w:rsidRDefault="00FE573A" w:rsidP="00FE573A">
    <w:pPr>
      <w:pStyle w:val="Footer"/>
      <w:ind w:right="20"/>
    </w:pPr>
    <w:r>
      <w:rPr>
        <w:rStyle w:val="PageNumber"/>
      </w:rPr>
      <w:t xml:space="preserve">Professional Support, </w:t>
    </w:r>
    <w:r w:rsidR="0066166A">
      <w:rPr>
        <w:rStyle w:val="PageNumber"/>
      </w:rPr>
      <w:t>Victori</w:t>
    </w:r>
    <w:r w:rsidR="0066166A">
      <w:rPr>
        <w:noProof/>
        <w:lang w:eastAsia="en-AU"/>
      </w:rPr>
      <mc:AlternateContent>
        <mc:Choice Requires="wps">
          <w:drawing>
            <wp:anchor distT="0" distB="0" distL="114300" distR="114300" simplePos="0" relativeHeight="251662336" behindDoc="0" locked="1" layoutInCell="1" allowOverlap="1" wp14:anchorId="7D785551" wp14:editId="0C6DF832">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4403A6"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r>
      <w:rPr>
        <w:rStyle w:val="PageNumber"/>
      </w:rPr>
      <w:t>a Legal Aid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403" w:rsidRDefault="000D7403"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rsidR="000D7403" w:rsidRDefault="000D7403"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66A" w:rsidRDefault="0066166A"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166A" w:rsidRDefault="0066166A" w:rsidP="00091AFC">
    <w:pPr>
      <w:pStyle w:val="Header"/>
      <w:ind w:right="360"/>
    </w:pPr>
  </w:p>
  <w:p w:rsidR="0066166A" w:rsidRDefault="006616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D4E" w:rsidRDefault="0066166A" w:rsidP="00226D4E">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rsidR="00226D4E" w:rsidRPr="00226D4E" w:rsidRDefault="00226D4E" w:rsidP="00226D4E">
    <w:pPr>
      <w:tabs>
        <w:tab w:val="left" w:pos="6893"/>
      </w:tabs>
      <w:spacing w:after="80" w:line="240" w:lineRule="auto"/>
      <w:ind w:left="-330"/>
      <w:rPr>
        <w:rFonts w:cs="Arial"/>
        <w:color w:val="B1005D"/>
        <w:sz w:val="18"/>
        <w:szCs w:val="18"/>
      </w:rPr>
    </w:pPr>
    <w:r w:rsidRPr="00226D4E">
      <w:rPr>
        <w:rFonts w:cs="Arial"/>
        <w:color w:val="B1005D"/>
        <w:sz w:val="18"/>
        <w:szCs w:val="18"/>
      </w:rPr>
      <w:t xml:space="preserve">Sentencing (Community Correction Order) and </w:t>
    </w:r>
    <w:proofErr w:type="gramStart"/>
    <w:r w:rsidRPr="00226D4E">
      <w:rPr>
        <w:rFonts w:cs="Arial"/>
        <w:color w:val="B1005D"/>
        <w:sz w:val="18"/>
        <w:szCs w:val="18"/>
      </w:rPr>
      <w:t>Other</w:t>
    </w:r>
    <w:proofErr w:type="gramEnd"/>
    <w:r w:rsidRPr="00226D4E">
      <w:rPr>
        <w:rFonts w:cs="Arial"/>
        <w:color w:val="B1005D"/>
        <w:sz w:val="18"/>
        <w:szCs w:val="18"/>
      </w:rPr>
      <w:t xml:space="preserve"> Acts Amendment </w:t>
    </w:r>
    <w:r w:rsidR="00346BEA">
      <w:rPr>
        <w:rFonts w:cs="Arial"/>
        <w:color w:val="B1005D"/>
        <w:sz w:val="18"/>
        <w:szCs w:val="18"/>
      </w:rPr>
      <w:t xml:space="preserve">Act </w:t>
    </w:r>
    <w:r w:rsidRPr="00226D4E">
      <w:rPr>
        <w:rFonts w:cs="Arial"/>
        <w:color w:val="B1005D"/>
        <w:sz w:val="18"/>
        <w:szCs w:val="18"/>
      </w:rPr>
      <w:t>2016</w:t>
    </w:r>
  </w:p>
  <w:p w:rsidR="0066166A" w:rsidRPr="00EF7C5C" w:rsidRDefault="0066166A" w:rsidP="00EF7C5C">
    <w:pPr>
      <w:spacing w:line="240" w:lineRule="auto"/>
      <w:ind w:left="-330"/>
      <w:rPr>
        <w:rFonts w:ascii="Arial Bold" w:hAnsi="Arial Bold" w:cs="Arial"/>
        <w:color w:val="B1005D"/>
      </w:rPr>
    </w:pPr>
    <w:r>
      <w:rPr>
        <w:rFonts w:ascii="Arial Bold" w:hAnsi="Arial Bold" w:cs="Arial"/>
        <w:b/>
        <w:noProof/>
        <w:color w:val="B1005D"/>
        <w:sz w:val="18"/>
        <w:szCs w:val="18"/>
        <w:lang w:eastAsia="en-AU"/>
      </w:rPr>
      <mc:AlternateContent>
        <mc:Choice Requires="wps">
          <w:drawing>
            <wp:anchor distT="0" distB="0" distL="114300" distR="114300" simplePos="0" relativeHeight="251656704" behindDoc="1" locked="1" layoutInCell="1" allowOverlap="1" wp14:anchorId="310469ED" wp14:editId="11606EB6">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94C40" id="Straight Connector 3" o:spid="_x0000_s1026" alt=" "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66A" w:rsidRPr="00833658" w:rsidRDefault="0066166A"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58752" behindDoc="1" locked="0" layoutInCell="1" allowOverlap="1" wp14:anchorId="5731AC36" wp14:editId="5DD80836">
          <wp:simplePos x="0" y="0"/>
          <wp:positionH relativeFrom="margin">
            <wp:align>center</wp:align>
          </wp:positionH>
          <wp:positionV relativeFrom="paragraph">
            <wp:posOffset>-66040</wp:posOffset>
          </wp:positionV>
          <wp:extent cx="7196556" cy="1295400"/>
          <wp:effectExtent l="0" t="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1414" cy="129627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66166A" w:rsidRPr="00D82005" w:rsidRDefault="001659F4" w:rsidP="004536A6">
    <w:pPr>
      <w:pStyle w:val="VLAPublicationdate"/>
      <w:tabs>
        <w:tab w:val="left" w:pos="1485"/>
        <w:tab w:val="left" w:pos="6360"/>
      </w:tabs>
      <w:spacing w:before="240" w:after="840"/>
    </w:pPr>
    <w:r>
      <w:t>March</w:t>
    </w:r>
    <w:r w:rsidR="0066166A">
      <w:t xml:space="preserve"> 201</w:t>
    </w:r>
    <w:r w:rsidR="00AD4746">
      <w:t>7</w:t>
    </w:r>
    <w:r w:rsidR="00DD04C2">
      <w:tab/>
    </w:r>
    <w:r w:rsidR="004536A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591453F"/>
    <w:multiLevelType w:val="multilevel"/>
    <w:tmpl w:val="6FF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21434"/>
    <w:multiLevelType w:val="hybridMultilevel"/>
    <w:tmpl w:val="A09AB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A4C0967"/>
    <w:multiLevelType w:val="multilevel"/>
    <w:tmpl w:val="CA9C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D6426A"/>
    <w:multiLevelType w:val="hybridMultilevel"/>
    <w:tmpl w:val="22F20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534FC"/>
    <w:multiLevelType w:val="hybridMultilevel"/>
    <w:tmpl w:val="D16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B40C72"/>
    <w:multiLevelType w:val="hybridMultilevel"/>
    <w:tmpl w:val="3850C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AA0177"/>
    <w:multiLevelType w:val="multilevel"/>
    <w:tmpl w:val="D2D8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89283B"/>
    <w:multiLevelType w:val="hybridMultilevel"/>
    <w:tmpl w:val="53729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CB6586"/>
    <w:multiLevelType w:val="hybridMultilevel"/>
    <w:tmpl w:val="18A61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7D00BF"/>
    <w:multiLevelType w:val="multilevel"/>
    <w:tmpl w:val="84B4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7"/>
  </w:num>
  <w:num w:numId="4">
    <w:abstractNumId w:val="16"/>
  </w:num>
  <w:num w:numId="5">
    <w:abstractNumId w:val="17"/>
  </w:num>
  <w:num w:numId="6">
    <w:abstractNumId w:val="17"/>
  </w:num>
  <w:num w:numId="7">
    <w:abstractNumId w:val="18"/>
  </w:num>
  <w:num w:numId="8">
    <w:abstractNumId w:val="17"/>
  </w:num>
  <w:num w:numId="9">
    <w:abstractNumId w:val="15"/>
  </w:num>
  <w:num w:numId="10">
    <w:abstractNumId w:val="13"/>
  </w:num>
  <w:num w:numId="11">
    <w:abstractNumId w:val="15"/>
  </w:num>
  <w:num w:numId="12">
    <w:abstractNumId w:val="9"/>
  </w:num>
  <w:num w:numId="13">
    <w:abstractNumId w:val="9"/>
  </w:num>
  <w:num w:numId="14">
    <w:abstractNumId w:val="9"/>
  </w:num>
  <w:num w:numId="15">
    <w:abstractNumId w:val="9"/>
  </w:num>
  <w:num w:numId="16">
    <w:abstractNumId w:val="13"/>
  </w:num>
  <w:num w:numId="17">
    <w:abstractNumId w:val="17"/>
  </w:num>
  <w:num w:numId="18">
    <w:abstractNumId w:val="17"/>
  </w:num>
  <w:num w:numId="19">
    <w:abstractNumId w:val="16"/>
  </w:num>
  <w:num w:numId="20">
    <w:abstractNumId w:val="16"/>
  </w:num>
  <w:num w:numId="21">
    <w:abstractNumId w:val="16"/>
  </w:num>
  <w:num w:numId="22">
    <w:abstractNumId w:val="15"/>
  </w:num>
  <w:num w:numId="23">
    <w:abstractNumId w:val="13"/>
  </w:num>
  <w:num w:numId="24">
    <w:abstractNumId w:val="17"/>
  </w:num>
  <w:num w:numId="25">
    <w:abstractNumId w:val="17"/>
  </w:num>
  <w:num w:numId="26">
    <w:abstractNumId w:val="16"/>
  </w:num>
  <w:num w:numId="27">
    <w:abstractNumId w:val="16"/>
  </w:num>
  <w:num w:numId="28">
    <w:abstractNumId w:val="16"/>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11"/>
  </w:num>
  <w:num w:numId="37">
    <w:abstractNumId w:val="19"/>
  </w:num>
  <w:num w:numId="38">
    <w:abstractNumId w:val="7"/>
  </w:num>
  <w:num w:numId="39">
    <w:abstractNumId w:val="21"/>
  </w:num>
  <w:num w:numId="40">
    <w:abstractNumId w:val="10"/>
  </w:num>
  <w:num w:numId="41">
    <w:abstractNumId w:val="23"/>
  </w:num>
  <w:num w:numId="42">
    <w:abstractNumId w:val="20"/>
  </w:num>
  <w:num w:numId="43">
    <w:abstractNumId w:val="8"/>
  </w:num>
  <w:num w:numId="44">
    <w:abstractNumId w:val="22"/>
  </w:num>
  <w:num w:numId="4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541DE7"/>
    <w:rsid w:val="000078CE"/>
    <w:rsid w:val="000360EC"/>
    <w:rsid w:val="00040F0B"/>
    <w:rsid w:val="00057FDC"/>
    <w:rsid w:val="000759A6"/>
    <w:rsid w:val="00091432"/>
    <w:rsid w:val="00091AFC"/>
    <w:rsid w:val="000945FD"/>
    <w:rsid w:val="00094FE1"/>
    <w:rsid w:val="000A1C94"/>
    <w:rsid w:val="000A6EE7"/>
    <w:rsid w:val="000B237F"/>
    <w:rsid w:val="000B5607"/>
    <w:rsid w:val="000B706A"/>
    <w:rsid w:val="000B75B9"/>
    <w:rsid w:val="000C6955"/>
    <w:rsid w:val="000D7403"/>
    <w:rsid w:val="000E1BEB"/>
    <w:rsid w:val="000E46AE"/>
    <w:rsid w:val="000F4983"/>
    <w:rsid w:val="00151B7E"/>
    <w:rsid w:val="0015359B"/>
    <w:rsid w:val="00160C7E"/>
    <w:rsid w:val="001659F4"/>
    <w:rsid w:val="00170757"/>
    <w:rsid w:val="001742F4"/>
    <w:rsid w:val="00181303"/>
    <w:rsid w:val="001A2999"/>
    <w:rsid w:val="001E588A"/>
    <w:rsid w:val="0021090D"/>
    <w:rsid w:val="0021722B"/>
    <w:rsid w:val="00226D4E"/>
    <w:rsid w:val="00270186"/>
    <w:rsid w:val="002A0F5A"/>
    <w:rsid w:val="002A17B6"/>
    <w:rsid w:val="002B73A4"/>
    <w:rsid w:val="002F7860"/>
    <w:rsid w:val="00306C10"/>
    <w:rsid w:val="00310DD1"/>
    <w:rsid w:val="00315C03"/>
    <w:rsid w:val="003224F8"/>
    <w:rsid w:val="00327682"/>
    <w:rsid w:val="003315F4"/>
    <w:rsid w:val="00346BEA"/>
    <w:rsid w:val="00360994"/>
    <w:rsid w:val="003655D7"/>
    <w:rsid w:val="0037081E"/>
    <w:rsid w:val="0039218F"/>
    <w:rsid w:val="003A18A8"/>
    <w:rsid w:val="003C3499"/>
    <w:rsid w:val="003D6D45"/>
    <w:rsid w:val="00402557"/>
    <w:rsid w:val="004158B6"/>
    <w:rsid w:val="00427C16"/>
    <w:rsid w:val="004421BD"/>
    <w:rsid w:val="00443649"/>
    <w:rsid w:val="004536A6"/>
    <w:rsid w:val="004707EF"/>
    <w:rsid w:val="00493CA5"/>
    <w:rsid w:val="004A2F01"/>
    <w:rsid w:val="004A41E7"/>
    <w:rsid w:val="004C1E45"/>
    <w:rsid w:val="004C75B1"/>
    <w:rsid w:val="004D7100"/>
    <w:rsid w:val="004F1A79"/>
    <w:rsid w:val="004F2AE9"/>
    <w:rsid w:val="00501ED0"/>
    <w:rsid w:val="00504F13"/>
    <w:rsid w:val="00507BA8"/>
    <w:rsid w:val="00524322"/>
    <w:rsid w:val="005317C2"/>
    <w:rsid w:val="00541DE7"/>
    <w:rsid w:val="0054647F"/>
    <w:rsid w:val="00546C0D"/>
    <w:rsid w:val="005A33A2"/>
    <w:rsid w:val="005B1640"/>
    <w:rsid w:val="005B3D02"/>
    <w:rsid w:val="005C1DFD"/>
    <w:rsid w:val="005D19C7"/>
    <w:rsid w:val="005D4A19"/>
    <w:rsid w:val="005D5C9C"/>
    <w:rsid w:val="0066019E"/>
    <w:rsid w:val="0066166A"/>
    <w:rsid w:val="006764E3"/>
    <w:rsid w:val="00680746"/>
    <w:rsid w:val="006A00A7"/>
    <w:rsid w:val="006A6FC6"/>
    <w:rsid w:val="006B22BB"/>
    <w:rsid w:val="006B35B8"/>
    <w:rsid w:val="006B3F5E"/>
    <w:rsid w:val="006B612D"/>
    <w:rsid w:val="006B6E7E"/>
    <w:rsid w:val="006B77AA"/>
    <w:rsid w:val="006D1301"/>
    <w:rsid w:val="006F181A"/>
    <w:rsid w:val="006F2D6F"/>
    <w:rsid w:val="00714549"/>
    <w:rsid w:val="00724661"/>
    <w:rsid w:val="0076603B"/>
    <w:rsid w:val="00781FFA"/>
    <w:rsid w:val="0078739B"/>
    <w:rsid w:val="007B0612"/>
    <w:rsid w:val="007D0038"/>
    <w:rsid w:val="007D5BA7"/>
    <w:rsid w:val="007E1623"/>
    <w:rsid w:val="007F2E40"/>
    <w:rsid w:val="008074B3"/>
    <w:rsid w:val="0082595B"/>
    <w:rsid w:val="00825A1E"/>
    <w:rsid w:val="00833658"/>
    <w:rsid w:val="0083582B"/>
    <w:rsid w:val="00841568"/>
    <w:rsid w:val="00847377"/>
    <w:rsid w:val="00856DA8"/>
    <w:rsid w:val="008636E1"/>
    <w:rsid w:val="00874E4B"/>
    <w:rsid w:val="008866B7"/>
    <w:rsid w:val="008958CB"/>
    <w:rsid w:val="00896E60"/>
    <w:rsid w:val="008A1E5F"/>
    <w:rsid w:val="008B0D30"/>
    <w:rsid w:val="008B2419"/>
    <w:rsid w:val="008C388A"/>
    <w:rsid w:val="008F4DC6"/>
    <w:rsid w:val="00940793"/>
    <w:rsid w:val="0099270D"/>
    <w:rsid w:val="009A74F1"/>
    <w:rsid w:val="009B0D09"/>
    <w:rsid w:val="009B59BF"/>
    <w:rsid w:val="009D3D20"/>
    <w:rsid w:val="009D539D"/>
    <w:rsid w:val="009D5683"/>
    <w:rsid w:val="009E1AC3"/>
    <w:rsid w:val="009F0AA0"/>
    <w:rsid w:val="00A024F2"/>
    <w:rsid w:val="00A11120"/>
    <w:rsid w:val="00A17665"/>
    <w:rsid w:val="00A4395A"/>
    <w:rsid w:val="00A43DBF"/>
    <w:rsid w:val="00A52F29"/>
    <w:rsid w:val="00A82C6D"/>
    <w:rsid w:val="00A93509"/>
    <w:rsid w:val="00AB5376"/>
    <w:rsid w:val="00AC3D95"/>
    <w:rsid w:val="00AD4746"/>
    <w:rsid w:val="00AD5A97"/>
    <w:rsid w:val="00B044A6"/>
    <w:rsid w:val="00B6049A"/>
    <w:rsid w:val="00B85795"/>
    <w:rsid w:val="00BB122F"/>
    <w:rsid w:val="00BD3873"/>
    <w:rsid w:val="00BE36EB"/>
    <w:rsid w:val="00BF3571"/>
    <w:rsid w:val="00C0255C"/>
    <w:rsid w:val="00C16B80"/>
    <w:rsid w:val="00C23872"/>
    <w:rsid w:val="00C33AEF"/>
    <w:rsid w:val="00C415B1"/>
    <w:rsid w:val="00C61CB5"/>
    <w:rsid w:val="00C64A61"/>
    <w:rsid w:val="00C81372"/>
    <w:rsid w:val="00C84D28"/>
    <w:rsid w:val="00CB48F9"/>
    <w:rsid w:val="00CC0626"/>
    <w:rsid w:val="00CC216F"/>
    <w:rsid w:val="00CE179F"/>
    <w:rsid w:val="00CF2D05"/>
    <w:rsid w:val="00CF4364"/>
    <w:rsid w:val="00D30B8E"/>
    <w:rsid w:val="00D75C29"/>
    <w:rsid w:val="00D82005"/>
    <w:rsid w:val="00DB07C5"/>
    <w:rsid w:val="00DC01DC"/>
    <w:rsid w:val="00DD04C2"/>
    <w:rsid w:val="00DD5EE1"/>
    <w:rsid w:val="00DE037E"/>
    <w:rsid w:val="00DE3C33"/>
    <w:rsid w:val="00E0695D"/>
    <w:rsid w:val="00E865F8"/>
    <w:rsid w:val="00E92D5D"/>
    <w:rsid w:val="00EF3D0F"/>
    <w:rsid w:val="00EF4FC5"/>
    <w:rsid w:val="00EF7C5C"/>
    <w:rsid w:val="00F0005B"/>
    <w:rsid w:val="00F14EC8"/>
    <w:rsid w:val="00F32FA0"/>
    <w:rsid w:val="00F46573"/>
    <w:rsid w:val="00F543F5"/>
    <w:rsid w:val="00F63972"/>
    <w:rsid w:val="00F77E0F"/>
    <w:rsid w:val="00F825B6"/>
    <w:rsid w:val="00F96EBD"/>
    <w:rsid w:val="00FA2F6A"/>
    <w:rsid w:val="00FB3760"/>
    <w:rsid w:val="00FB7AAC"/>
    <w:rsid w:val="00FC5AE3"/>
    <w:rsid w:val="00FE57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17165,#96004a,#b1005d"/>
    </o:shapedefaults>
    <o:shapelayout v:ext="edit">
      <o:idmap v:ext="edit" data="1"/>
    </o:shapelayout>
  </w:shapeDefaults>
  <w:decimalSymbol w:val="."/>
  <w:listSeparator w:val=","/>
  <w15:docId w15:val="{5ED72BB9-35E9-43AC-B491-5874C035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ListParagraph">
    <w:name w:val="List Paragraph"/>
    <w:basedOn w:val="Normal"/>
    <w:uiPriority w:val="34"/>
    <w:qFormat/>
    <w:rsid w:val="0066166A"/>
    <w:pPr>
      <w:spacing w:after="0"/>
      <w:ind w:left="720"/>
      <w:contextualSpacing/>
    </w:pPr>
  </w:style>
  <w:style w:type="character" w:styleId="FollowedHyperlink">
    <w:name w:val="FollowedHyperlink"/>
    <w:basedOn w:val="DefaultParagraphFont"/>
    <w:rsid w:val="0066166A"/>
    <w:rPr>
      <w:color w:val="9775A7" w:themeColor="followedHyperlink"/>
      <w:u w:val="single"/>
    </w:rPr>
  </w:style>
  <w:style w:type="paragraph" w:styleId="BalloonText">
    <w:name w:val="Balloon Text"/>
    <w:basedOn w:val="Normal"/>
    <w:link w:val="BalloonTextChar"/>
    <w:semiHidden/>
    <w:unhideWhenUsed/>
    <w:rsid w:val="00AD4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D474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31130">
      <w:bodyDiv w:val="1"/>
      <w:marLeft w:val="0"/>
      <w:marRight w:val="0"/>
      <w:marTop w:val="0"/>
      <w:marBottom w:val="0"/>
      <w:divBdr>
        <w:top w:val="none" w:sz="0" w:space="0" w:color="auto"/>
        <w:left w:val="none" w:sz="0" w:space="0" w:color="auto"/>
        <w:bottom w:val="none" w:sz="0" w:space="0" w:color="auto"/>
        <w:right w:val="none" w:sz="0" w:space="0" w:color="auto"/>
      </w:divBdr>
      <w:divsChild>
        <w:div w:id="128208195">
          <w:marLeft w:val="0"/>
          <w:marRight w:val="0"/>
          <w:marTop w:val="0"/>
          <w:marBottom w:val="0"/>
          <w:divBdr>
            <w:top w:val="none" w:sz="0" w:space="0" w:color="auto"/>
            <w:left w:val="none" w:sz="0" w:space="0" w:color="auto"/>
            <w:bottom w:val="none" w:sz="0" w:space="0" w:color="auto"/>
            <w:right w:val="none" w:sz="0" w:space="0" w:color="auto"/>
          </w:divBdr>
          <w:divsChild>
            <w:div w:id="2075082039">
              <w:marLeft w:val="0"/>
              <w:marRight w:val="0"/>
              <w:marTop w:val="0"/>
              <w:marBottom w:val="0"/>
              <w:divBdr>
                <w:top w:val="none" w:sz="0" w:space="0" w:color="auto"/>
                <w:left w:val="none" w:sz="0" w:space="0" w:color="auto"/>
                <w:bottom w:val="none" w:sz="0" w:space="0" w:color="auto"/>
                <w:right w:val="none" w:sz="0" w:space="0" w:color="auto"/>
              </w:divBdr>
              <w:divsChild>
                <w:div w:id="1039891518">
                  <w:marLeft w:val="0"/>
                  <w:marRight w:val="0"/>
                  <w:marTop w:val="0"/>
                  <w:marBottom w:val="0"/>
                  <w:divBdr>
                    <w:top w:val="none" w:sz="0" w:space="0" w:color="auto"/>
                    <w:left w:val="none" w:sz="0" w:space="0" w:color="auto"/>
                    <w:bottom w:val="none" w:sz="0" w:space="0" w:color="auto"/>
                    <w:right w:val="none" w:sz="0" w:space="0" w:color="auto"/>
                  </w:divBdr>
                  <w:divsChild>
                    <w:div w:id="4569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6687">
      <w:bodyDiv w:val="1"/>
      <w:marLeft w:val="0"/>
      <w:marRight w:val="0"/>
      <w:marTop w:val="0"/>
      <w:marBottom w:val="0"/>
      <w:divBdr>
        <w:top w:val="none" w:sz="0" w:space="0" w:color="auto"/>
        <w:left w:val="none" w:sz="0" w:space="0" w:color="auto"/>
        <w:bottom w:val="none" w:sz="0" w:space="0" w:color="auto"/>
        <w:right w:val="none" w:sz="0" w:space="0" w:color="auto"/>
      </w:divBdr>
      <w:divsChild>
        <w:div w:id="1844011282">
          <w:marLeft w:val="0"/>
          <w:marRight w:val="0"/>
          <w:marTop w:val="0"/>
          <w:marBottom w:val="0"/>
          <w:divBdr>
            <w:top w:val="none" w:sz="0" w:space="0" w:color="auto"/>
            <w:left w:val="none" w:sz="0" w:space="0" w:color="auto"/>
            <w:bottom w:val="none" w:sz="0" w:space="0" w:color="auto"/>
            <w:right w:val="none" w:sz="0" w:space="0" w:color="auto"/>
          </w:divBdr>
          <w:divsChild>
            <w:div w:id="1818454343">
              <w:marLeft w:val="0"/>
              <w:marRight w:val="0"/>
              <w:marTop w:val="0"/>
              <w:marBottom w:val="0"/>
              <w:divBdr>
                <w:top w:val="none" w:sz="0" w:space="0" w:color="auto"/>
                <w:left w:val="none" w:sz="0" w:space="0" w:color="auto"/>
                <w:bottom w:val="none" w:sz="0" w:space="0" w:color="auto"/>
                <w:right w:val="none" w:sz="0" w:space="0" w:color="auto"/>
              </w:divBdr>
              <w:divsChild>
                <w:div w:id="1519193635">
                  <w:marLeft w:val="0"/>
                  <w:marRight w:val="0"/>
                  <w:marTop w:val="0"/>
                  <w:marBottom w:val="0"/>
                  <w:divBdr>
                    <w:top w:val="none" w:sz="0" w:space="0" w:color="auto"/>
                    <w:left w:val="none" w:sz="0" w:space="0" w:color="auto"/>
                    <w:bottom w:val="none" w:sz="0" w:space="0" w:color="auto"/>
                    <w:right w:val="none" w:sz="0" w:space="0" w:color="auto"/>
                  </w:divBdr>
                  <w:divsChild>
                    <w:div w:id="5786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Domino/Web_Notes/LDMS/PubStatbook.nsf/f932b66241ecf1b7ca256e92000e23be/4508138bb27b1a1dca25806c0010be22!OpenDocu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vic.gov.au/domino/Web_Notes/LDMS/PubPDocs_Arch.nsf/5da7442d8f61e92bca256de50013d008/ca257cca00177a46ca25804a00197f6f!OpenDocumen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750E1-C6D1-400A-985B-98611F1D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Accused in custody to appear in Magistrates’ Court by video link</vt:lpstr>
    </vt:vector>
  </TitlesOfParts>
  <Company>Victoria Legal Aid</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Accused in custody to appear in Magistrates’ Court by video link</dc:title>
  <dc:subject/>
  <dc:creator>Victoria Legal Aid</dc:creator>
  <cp:keywords/>
  <cp:lastModifiedBy/>
  <cp:revision>1</cp:revision>
  <dcterms:created xsi:type="dcterms:W3CDTF">2021-04-30T00:08:00Z</dcterms:created>
  <dcterms:modified xsi:type="dcterms:W3CDTF">2021-04-30T00:08:00Z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